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E027AB" w14:textId="77777777" w:rsidR="0077484B" w:rsidRPr="002F2DD8" w:rsidRDefault="0077484B" w:rsidP="002F2DD8">
      <w:pPr>
        <w:spacing w:after="200" w:line="360" w:lineRule="auto"/>
        <w:jc w:val="center"/>
        <w:rPr>
          <w:rFonts w:ascii="Arial" w:hAnsi="Arial" w:cs="Arial"/>
          <w:b/>
          <w:smallCaps/>
          <w:sz w:val="22"/>
          <w:szCs w:val="22"/>
          <w:lang w:eastAsia="es-PE"/>
        </w:rPr>
      </w:pPr>
      <w:r w:rsidRPr="002F2DD8">
        <w:rPr>
          <w:rFonts w:ascii="Arial" w:hAnsi="Arial" w:cs="Arial"/>
          <w:b/>
          <w:smallCaps/>
          <w:sz w:val="22"/>
          <w:szCs w:val="22"/>
          <w:lang w:eastAsia="es-PE"/>
        </w:rPr>
        <w:t>Proyecto de Innovación para la Competitividad</w:t>
      </w:r>
    </w:p>
    <w:p w14:paraId="385EA569" w14:textId="77777777" w:rsidR="0077484B" w:rsidRPr="002F2DD8" w:rsidRDefault="0077484B" w:rsidP="002F2DD8">
      <w:pPr>
        <w:spacing w:after="200" w:line="360" w:lineRule="auto"/>
        <w:jc w:val="center"/>
        <w:rPr>
          <w:rFonts w:ascii="Arial" w:hAnsi="Arial" w:cs="Arial"/>
          <w:b/>
          <w:sz w:val="22"/>
          <w:szCs w:val="22"/>
          <w:lang w:eastAsia="es-PE"/>
        </w:rPr>
      </w:pPr>
      <w:r w:rsidRPr="002F2DD8">
        <w:rPr>
          <w:rFonts w:ascii="Arial" w:hAnsi="Arial" w:cs="Arial"/>
          <w:b/>
          <w:sz w:val="22"/>
          <w:szCs w:val="22"/>
          <w:lang w:eastAsia="es-PE"/>
        </w:rPr>
        <w:t xml:space="preserve">Unidad Coordinadora del Programa de Ciencia y Tecnología - </w:t>
      </w:r>
      <w:proofErr w:type="spellStart"/>
      <w:r w:rsidRPr="002F2DD8">
        <w:rPr>
          <w:rFonts w:ascii="Arial" w:hAnsi="Arial" w:cs="Arial"/>
          <w:b/>
          <w:sz w:val="22"/>
          <w:szCs w:val="22"/>
          <w:lang w:eastAsia="es-PE"/>
        </w:rPr>
        <w:t>FINCyT</w:t>
      </w:r>
      <w:proofErr w:type="spellEnd"/>
    </w:p>
    <w:p w14:paraId="21FC8244" w14:textId="77777777" w:rsidR="00EF24B0" w:rsidRPr="002F2DD8" w:rsidRDefault="00EF24B0" w:rsidP="002F2DD8">
      <w:pPr>
        <w:spacing w:after="200" w:line="360" w:lineRule="auto"/>
        <w:jc w:val="center"/>
        <w:rPr>
          <w:rFonts w:ascii="Arial" w:hAnsi="Arial" w:cs="Arial"/>
          <w:b/>
          <w:sz w:val="22"/>
          <w:szCs w:val="22"/>
          <w:lang w:val="es-PE" w:eastAsia="es-PE"/>
        </w:rPr>
      </w:pPr>
      <w:r w:rsidRPr="002F2DD8">
        <w:rPr>
          <w:rFonts w:ascii="Arial" w:hAnsi="Arial" w:cs="Arial"/>
          <w:b/>
          <w:sz w:val="22"/>
          <w:szCs w:val="22"/>
          <w:lang w:val="es-PE" w:eastAsia="es-PE"/>
        </w:rPr>
        <w:t xml:space="preserve">Servicio de Consultoría: Modelo de </w:t>
      </w:r>
      <w:r w:rsidR="005C6965" w:rsidRPr="002F2DD8">
        <w:rPr>
          <w:rFonts w:ascii="Arial" w:hAnsi="Arial" w:cs="Arial"/>
          <w:b/>
          <w:sz w:val="22"/>
          <w:szCs w:val="22"/>
          <w:lang w:val="es-PE" w:eastAsia="es-PE"/>
        </w:rPr>
        <w:t>Oficinas de T</w:t>
      </w:r>
      <w:r w:rsidRPr="002F2DD8">
        <w:rPr>
          <w:rFonts w:ascii="Arial" w:hAnsi="Arial" w:cs="Arial"/>
          <w:b/>
          <w:sz w:val="22"/>
          <w:szCs w:val="22"/>
          <w:lang w:val="es-PE" w:eastAsia="es-PE"/>
        </w:rPr>
        <w:t>ransfer</w:t>
      </w:r>
      <w:r w:rsidR="005C6965" w:rsidRPr="002F2DD8">
        <w:rPr>
          <w:rFonts w:ascii="Arial" w:hAnsi="Arial" w:cs="Arial"/>
          <w:b/>
          <w:sz w:val="22"/>
          <w:szCs w:val="22"/>
          <w:lang w:val="es-PE" w:eastAsia="es-PE"/>
        </w:rPr>
        <w:t>encia T</w:t>
      </w:r>
      <w:r w:rsidRPr="002F2DD8">
        <w:rPr>
          <w:rFonts w:ascii="Arial" w:hAnsi="Arial" w:cs="Arial"/>
          <w:b/>
          <w:sz w:val="22"/>
          <w:szCs w:val="22"/>
          <w:lang w:val="es-PE" w:eastAsia="es-PE"/>
        </w:rPr>
        <w:t>ecnológica para el Perú</w:t>
      </w:r>
    </w:p>
    <w:p w14:paraId="6F1E2B5D" w14:textId="77777777" w:rsidR="0077484B" w:rsidRPr="002F2DD8" w:rsidRDefault="0077484B" w:rsidP="002F2DD8">
      <w:pPr>
        <w:spacing w:after="200" w:line="360" w:lineRule="auto"/>
        <w:jc w:val="center"/>
        <w:rPr>
          <w:rFonts w:ascii="Arial" w:hAnsi="Arial" w:cs="Arial"/>
          <w:b/>
          <w:sz w:val="22"/>
          <w:szCs w:val="22"/>
          <w:lang w:eastAsia="es-PE"/>
        </w:rPr>
      </w:pPr>
      <w:r w:rsidRPr="002F2DD8">
        <w:rPr>
          <w:rFonts w:ascii="Arial" w:hAnsi="Arial" w:cs="Arial"/>
          <w:b/>
          <w:sz w:val="22"/>
          <w:szCs w:val="22"/>
          <w:lang w:eastAsia="es-PE"/>
        </w:rPr>
        <w:t>TERMINOS DE REFERENCIA</w:t>
      </w:r>
    </w:p>
    <w:p w14:paraId="7372859E" w14:textId="77777777" w:rsidR="0077484B" w:rsidRPr="002F2DD8" w:rsidRDefault="0077484B" w:rsidP="002F2DD8">
      <w:pPr>
        <w:pStyle w:val="Prrafodelista"/>
        <w:numPr>
          <w:ilvl w:val="0"/>
          <w:numId w:val="1"/>
        </w:numPr>
        <w:spacing w:line="360" w:lineRule="auto"/>
        <w:rPr>
          <w:rFonts w:ascii="Arial" w:hAnsi="Arial" w:cs="Arial"/>
          <w:b/>
          <w:smallCaps/>
          <w:sz w:val="22"/>
          <w:szCs w:val="22"/>
          <w:lang w:val="es-PE" w:eastAsia="es-PE"/>
        </w:rPr>
      </w:pPr>
      <w:r w:rsidRPr="002F2DD8">
        <w:rPr>
          <w:rFonts w:ascii="Arial" w:hAnsi="Arial" w:cs="Arial"/>
          <w:b/>
          <w:smallCaps/>
          <w:sz w:val="22"/>
          <w:szCs w:val="22"/>
          <w:lang w:val="es-PE" w:eastAsia="es-PE"/>
        </w:rPr>
        <w:t>Antecedentes</w:t>
      </w:r>
    </w:p>
    <w:p w14:paraId="0B7D01E7" w14:textId="77777777" w:rsidR="008222B8" w:rsidRPr="002F2DD8" w:rsidRDefault="008222B8" w:rsidP="002F2DD8">
      <w:pPr>
        <w:pStyle w:val="Prrafodelista"/>
        <w:spacing w:line="360" w:lineRule="auto"/>
        <w:rPr>
          <w:rFonts w:ascii="Arial" w:hAnsi="Arial" w:cs="Arial"/>
          <w:sz w:val="22"/>
          <w:szCs w:val="22"/>
          <w:lang w:val="es-PE" w:eastAsia="es-PE"/>
        </w:rPr>
      </w:pPr>
    </w:p>
    <w:p w14:paraId="51ECC36A" w14:textId="390552D8" w:rsidR="00DD754F" w:rsidRDefault="00E6509D" w:rsidP="00023A84">
      <w:pPr>
        <w:pStyle w:val="Prrafodelista"/>
        <w:spacing w:after="200" w:line="360" w:lineRule="auto"/>
        <w:rPr>
          <w:rFonts w:cstheme="minorHAnsi"/>
        </w:rPr>
      </w:pPr>
      <w:r w:rsidRPr="002F2DD8">
        <w:rPr>
          <w:rFonts w:ascii="Arial" w:hAnsi="Arial" w:cs="Arial"/>
          <w:sz w:val="22"/>
          <w:szCs w:val="22"/>
          <w:lang w:val="es-PE" w:eastAsia="es-PE"/>
        </w:rPr>
        <w:t xml:space="preserve">El 28 de setiembre de 2012 el Gobierno de la República del Perú firmó el contrato de préstamo 2693/OC-PE con el Banco Interamericano de Desarrollo (BID) para contribuir a la consolidación y el dinamismo del </w:t>
      </w:r>
      <w:r w:rsidRPr="002F2DD8">
        <w:rPr>
          <w:rFonts w:ascii="Arial" w:hAnsi="Arial" w:cs="Arial"/>
          <w:sz w:val="22"/>
          <w:szCs w:val="22"/>
          <w:lang w:val="es-PE"/>
        </w:rPr>
        <w:t>mercado</w:t>
      </w:r>
      <w:r w:rsidRPr="002F2DD8">
        <w:rPr>
          <w:rFonts w:ascii="Arial" w:hAnsi="Arial" w:cs="Arial"/>
          <w:sz w:val="22"/>
          <w:szCs w:val="22"/>
          <w:lang w:val="es-PE" w:eastAsia="es-PE"/>
        </w:rPr>
        <w:t xml:space="preserve"> de innovación tecnológica para el incremento de la competitividad del Perú.</w:t>
      </w:r>
      <w:r w:rsidR="00DD754F">
        <w:rPr>
          <w:rFonts w:cs="Arial"/>
          <w:lang w:eastAsia="es-PE"/>
        </w:rPr>
        <w:t xml:space="preserve"> </w:t>
      </w:r>
      <w:r w:rsidR="00DD754F">
        <w:rPr>
          <w:rFonts w:cstheme="minorHAnsi"/>
        </w:rPr>
        <w:t xml:space="preserve">FINCYT </w:t>
      </w:r>
      <w:proofErr w:type="gramStart"/>
      <w:r w:rsidR="00DD754F">
        <w:rPr>
          <w:rFonts w:cstheme="minorHAnsi"/>
        </w:rPr>
        <w:t>utilizará  los</w:t>
      </w:r>
      <w:proofErr w:type="gramEnd"/>
      <w:r w:rsidR="00DD754F">
        <w:rPr>
          <w:rFonts w:cstheme="minorHAnsi"/>
        </w:rPr>
        <w:t xml:space="preserve"> recursos </w:t>
      </w:r>
      <w:r w:rsidR="00DD754F">
        <w:rPr>
          <w:rFonts w:cs="Arial"/>
          <w:lang w:eastAsia="es-PE"/>
        </w:rPr>
        <w:t xml:space="preserve">del </w:t>
      </w:r>
      <w:r w:rsidR="00DD754F">
        <w:rPr>
          <w:rFonts w:cstheme="minorHAnsi"/>
        </w:rPr>
        <w:t xml:space="preserve">componente 3.2 del citado préstamo: “Estudios para la promoción y desarrollo del mercado de innovación” para financiar la </w:t>
      </w:r>
      <w:r w:rsidR="00DD754F">
        <w:rPr>
          <w:rFonts w:cs="Arial"/>
          <w:lang w:eastAsia="es-PE"/>
        </w:rPr>
        <w:t xml:space="preserve"> presente consultoría</w:t>
      </w:r>
      <w:r w:rsidR="00DD754F">
        <w:rPr>
          <w:rFonts w:cstheme="minorHAnsi"/>
        </w:rPr>
        <w:t>.</w:t>
      </w:r>
    </w:p>
    <w:p w14:paraId="55BEA600" w14:textId="4DFBDA26" w:rsidR="00E6509D" w:rsidRPr="00023A84" w:rsidRDefault="00E6509D" w:rsidP="002F2DD8">
      <w:pPr>
        <w:pStyle w:val="Prrafodelista"/>
        <w:spacing w:line="360" w:lineRule="auto"/>
        <w:rPr>
          <w:rFonts w:ascii="Arial" w:hAnsi="Arial" w:cs="Arial"/>
          <w:sz w:val="22"/>
          <w:szCs w:val="22"/>
          <w:lang w:eastAsia="es-PE"/>
        </w:rPr>
      </w:pPr>
    </w:p>
    <w:p w14:paraId="0DF338DA" w14:textId="77777777" w:rsidR="008222B8" w:rsidRPr="002F2DD8" w:rsidRDefault="008222B8" w:rsidP="002F2DD8">
      <w:pPr>
        <w:spacing w:line="360" w:lineRule="auto"/>
        <w:ind w:left="720"/>
        <w:contextualSpacing/>
        <w:rPr>
          <w:rFonts w:ascii="Arial" w:hAnsi="Arial" w:cs="Arial"/>
          <w:sz w:val="22"/>
          <w:szCs w:val="22"/>
          <w:lang w:eastAsia="es-PE"/>
        </w:rPr>
      </w:pPr>
    </w:p>
    <w:p w14:paraId="46D8B76C" w14:textId="77777777" w:rsidR="0077484B" w:rsidRPr="002F2DD8" w:rsidRDefault="0077484B" w:rsidP="002F2DD8">
      <w:pPr>
        <w:pStyle w:val="Prrafodelista"/>
        <w:numPr>
          <w:ilvl w:val="0"/>
          <w:numId w:val="1"/>
        </w:numPr>
        <w:spacing w:line="360" w:lineRule="auto"/>
        <w:rPr>
          <w:rFonts w:ascii="Arial" w:hAnsi="Arial" w:cs="Arial"/>
          <w:b/>
          <w:smallCaps/>
          <w:sz w:val="22"/>
          <w:szCs w:val="22"/>
          <w:lang w:val="es-PE" w:eastAsia="es-PE"/>
        </w:rPr>
      </w:pPr>
      <w:r w:rsidRPr="002F2DD8">
        <w:rPr>
          <w:rFonts w:ascii="Arial" w:hAnsi="Arial" w:cs="Arial"/>
          <w:b/>
          <w:smallCaps/>
          <w:sz w:val="22"/>
          <w:szCs w:val="22"/>
          <w:lang w:val="es-PE" w:eastAsia="es-PE"/>
        </w:rPr>
        <w:t>Objetivos de la Consultoría</w:t>
      </w:r>
    </w:p>
    <w:p w14:paraId="030174DE" w14:textId="77777777" w:rsidR="0077484B" w:rsidRPr="002F2DD8" w:rsidRDefault="0077484B" w:rsidP="002F2DD8">
      <w:pPr>
        <w:pStyle w:val="Prrafodelista"/>
        <w:spacing w:after="200" w:line="360" w:lineRule="auto"/>
        <w:rPr>
          <w:rFonts w:ascii="Arial" w:hAnsi="Arial" w:cs="Arial"/>
          <w:sz w:val="22"/>
          <w:szCs w:val="22"/>
          <w:lang w:val="es-PE" w:eastAsia="es-PE"/>
        </w:rPr>
      </w:pPr>
    </w:p>
    <w:p w14:paraId="69ED18D3" w14:textId="77777777" w:rsidR="0077484B" w:rsidRPr="002F2DD8" w:rsidRDefault="0077484B" w:rsidP="002F2DD8">
      <w:pPr>
        <w:pStyle w:val="Prrafodelista"/>
        <w:spacing w:after="200" w:line="360" w:lineRule="auto"/>
        <w:rPr>
          <w:rFonts w:ascii="Arial" w:hAnsi="Arial" w:cs="Arial"/>
          <w:b/>
          <w:sz w:val="22"/>
          <w:szCs w:val="22"/>
          <w:lang w:val="es-PE" w:eastAsia="es-PE"/>
        </w:rPr>
      </w:pPr>
      <w:r w:rsidRPr="002F2DD8">
        <w:rPr>
          <w:rFonts w:ascii="Arial" w:hAnsi="Arial" w:cs="Arial"/>
          <w:b/>
          <w:sz w:val="22"/>
          <w:szCs w:val="22"/>
          <w:lang w:val="es-PE" w:eastAsia="es-PE"/>
        </w:rPr>
        <w:t xml:space="preserve">Objetivo </w:t>
      </w:r>
    </w:p>
    <w:p w14:paraId="47DE4EFD" w14:textId="77777777" w:rsidR="00EF24B0" w:rsidRPr="002F2DD8" w:rsidRDefault="00EF24B0" w:rsidP="002F2DD8">
      <w:pPr>
        <w:pStyle w:val="Prrafodelista"/>
        <w:spacing w:after="200" w:line="360" w:lineRule="auto"/>
        <w:rPr>
          <w:rFonts w:ascii="Arial" w:hAnsi="Arial" w:cs="Arial"/>
          <w:sz w:val="22"/>
          <w:szCs w:val="22"/>
          <w:lang w:val="es-PE"/>
        </w:rPr>
      </w:pPr>
    </w:p>
    <w:p w14:paraId="368925D0" w14:textId="2AF19ABC" w:rsidR="005C6DE8" w:rsidRPr="002F2DD8" w:rsidRDefault="005C6DE8" w:rsidP="002F2DD8">
      <w:pPr>
        <w:pStyle w:val="Prrafodelista"/>
        <w:spacing w:after="200" w:line="360" w:lineRule="auto"/>
        <w:rPr>
          <w:rFonts w:ascii="Arial" w:hAnsi="Arial" w:cs="Arial"/>
          <w:sz w:val="22"/>
          <w:szCs w:val="22"/>
          <w:lang w:val="es-PE"/>
        </w:rPr>
      </w:pPr>
      <w:r w:rsidRPr="002F2DD8">
        <w:rPr>
          <w:rFonts w:ascii="Arial" w:hAnsi="Arial" w:cs="Arial"/>
          <w:sz w:val="22"/>
          <w:szCs w:val="22"/>
          <w:lang w:val="es-PE"/>
        </w:rPr>
        <w:t xml:space="preserve">El objetivo general de la Consultoría es realizar un </w:t>
      </w:r>
      <w:proofErr w:type="gramStart"/>
      <w:r w:rsidRPr="002F2DD8">
        <w:rPr>
          <w:rFonts w:ascii="Arial" w:hAnsi="Arial" w:cs="Arial"/>
          <w:sz w:val="22"/>
          <w:szCs w:val="22"/>
          <w:lang w:val="es-PE"/>
        </w:rPr>
        <w:t>estudio  a</w:t>
      </w:r>
      <w:proofErr w:type="gramEnd"/>
      <w:r w:rsidRPr="002F2DD8">
        <w:rPr>
          <w:rFonts w:ascii="Arial" w:hAnsi="Arial" w:cs="Arial"/>
          <w:sz w:val="22"/>
          <w:szCs w:val="22"/>
          <w:lang w:val="es-PE"/>
        </w:rPr>
        <w:t xml:space="preserve"> nivel nacional</w:t>
      </w:r>
      <w:r w:rsidR="0046322F">
        <w:rPr>
          <w:rFonts w:ascii="Arial" w:hAnsi="Arial" w:cs="Arial"/>
          <w:sz w:val="22"/>
          <w:szCs w:val="22"/>
          <w:lang w:val="es-PE"/>
        </w:rPr>
        <w:t xml:space="preserve">, con revisión de experiencias </w:t>
      </w:r>
      <w:r w:rsidRPr="002F2DD8">
        <w:rPr>
          <w:rFonts w:ascii="Arial" w:hAnsi="Arial" w:cs="Arial"/>
          <w:sz w:val="22"/>
          <w:szCs w:val="22"/>
          <w:lang w:val="es-PE"/>
        </w:rPr>
        <w:t>internacional</w:t>
      </w:r>
      <w:r w:rsidR="0046322F">
        <w:rPr>
          <w:rFonts w:ascii="Arial" w:hAnsi="Arial" w:cs="Arial"/>
          <w:sz w:val="22"/>
          <w:szCs w:val="22"/>
          <w:lang w:val="es-PE"/>
        </w:rPr>
        <w:t>es</w:t>
      </w:r>
      <w:r w:rsidRPr="002F2DD8">
        <w:rPr>
          <w:rFonts w:ascii="Arial" w:hAnsi="Arial" w:cs="Arial"/>
          <w:sz w:val="22"/>
          <w:szCs w:val="22"/>
          <w:lang w:val="es-PE"/>
        </w:rPr>
        <w:t xml:space="preserve"> sobre los diversos modelos de</w:t>
      </w:r>
      <w:r w:rsidR="00E6509D" w:rsidRPr="002F2DD8">
        <w:rPr>
          <w:rFonts w:ascii="Arial" w:hAnsi="Arial" w:cs="Arial"/>
          <w:sz w:val="22"/>
          <w:szCs w:val="22"/>
          <w:lang w:val="es-PE"/>
        </w:rPr>
        <w:t xml:space="preserve"> </w:t>
      </w:r>
      <w:r w:rsidR="00E6509D" w:rsidRPr="002F2DD8">
        <w:rPr>
          <w:rFonts w:ascii="Arial" w:hAnsi="Arial" w:cs="Arial"/>
          <w:sz w:val="22"/>
          <w:szCs w:val="22"/>
          <w:lang w:val="es-AR"/>
        </w:rPr>
        <w:t>Oficinas de Transferencia Tecnológica</w:t>
      </w:r>
      <w:r w:rsidRPr="002F2DD8">
        <w:rPr>
          <w:rFonts w:ascii="Arial" w:hAnsi="Arial" w:cs="Arial"/>
          <w:sz w:val="22"/>
          <w:szCs w:val="22"/>
          <w:lang w:val="es-PE"/>
        </w:rPr>
        <w:t xml:space="preserve"> exitosos, analizando sus inicios</w:t>
      </w:r>
      <w:r w:rsidR="00E448F9">
        <w:rPr>
          <w:rFonts w:ascii="Arial" w:hAnsi="Arial" w:cs="Arial"/>
          <w:sz w:val="22"/>
          <w:szCs w:val="22"/>
          <w:lang w:val="es-PE"/>
        </w:rPr>
        <w:t xml:space="preserve"> y </w:t>
      </w:r>
      <w:r w:rsidRPr="002F2DD8">
        <w:rPr>
          <w:rFonts w:ascii="Arial" w:hAnsi="Arial" w:cs="Arial"/>
          <w:sz w:val="22"/>
          <w:szCs w:val="22"/>
          <w:lang w:val="es-PE"/>
        </w:rPr>
        <w:t>formación, características y factores de sostenibilidad que han permitido mejorar la productividad de las empresas de productos o servicios</w:t>
      </w:r>
      <w:r w:rsidR="00FC2854" w:rsidRPr="002F2DD8">
        <w:rPr>
          <w:rFonts w:ascii="Arial" w:hAnsi="Arial" w:cs="Arial"/>
          <w:sz w:val="22"/>
          <w:szCs w:val="22"/>
          <w:lang w:val="es-PE"/>
        </w:rPr>
        <w:t>. S</w:t>
      </w:r>
      <w:r w:rsidRPr="002F2DD8">
        <w:rPr>
          <w:rFonts w:ascii="Arial" w:hAnsi="Arial" w:cs="Arial"/>
          <w:sz w:val="22"/>
          <w:szCs w:val="22"/>
          <w:lang w:val="es-PE"/>
        </w:rPr>
        <w:t xml:space="preserve">obre la base de lo encontrado evaluar y proponer un modelo o modelos de </w:t>
      </w:r>
      <w:r w:rsidR="00E6509D" w:rsidRPr="002F2DD8">
        <w:rPr>
          <w:rFonts w:ascii="Arial" w:hAnsi="Arial" w:cs="Arial"/>
          <w:sz w:val="22"/>
          <w:szCs w:val="22"/>
          <w:lang w:val="es-AR"/>
        </w:rPr>
        <w:t>Oficinas de Transferencia Tecnológica</w:t>
      </w:r>
      <w:r w:rsidRPr="002F2DD8">
        <w:rPr>
          <w:rFonts w:ascii="Arial" w:hAnsi="Arial" w:cs="Arial"/>
          <w:sz w:val="22"/>
          <w:szCs w:val="22"/>
          <w:lang w:val="es-PE"/>
        </w:rPr>
        <w:t>.</w:t>
      </w:r>
    </w:p>
    <w:p w14:paraId="467C779A" w14:textId="77777777" w:rsidR="0077484B" w:rsidRPr="002F2DD8" w:rsidRDefault="0077484B" w:rsidP="002F2DD8">
      <w:pPr>
        <w:pStyle w:val="Prrafodelista"/>
        <w:spacing w:after="200" w:line="360" w:lineRule="auto"/>
        <w:ind w:left="1440"/>
        <w:rPr>
          <w:rFonts w:ascii="Arial" w:hAnsi="Arial" w:cs="Arial"/>
          <w:color w:val="000000"/>
          <w:sz w:val="22"/>
          <w:szCs w:val="22"/>
          <w:lang w:val="es-ES"/>
        </w:rPr>
      </w:pPr>
    </w:p>
    <w:p w14:paraId="30051D06" w14:textId="77777777" w:rsidR="0077484B" w:rsidRPr="002F2DD8" w:rsidRDefault="00124CCE" w:rsidP="002F2DD8">
      <w:pPr>
        <w:pStyle w:val="Prrafodelista"/>
        <w:numPr>
          <w:ilvl w:val="0"/>
          <w:numId w:val="1"/>
        </w:numPr>
        <w:spacing w:line="360" w:lineRule="auto"/>
        <w:rPr>
          <w:rFonts w:ascii="Arial" w:hAnsi="Arial" w:cs="Arial"/>
          <w:b/>
          <w:smallCaps/>
          <w:sz w:val="22"/>
          <w:szCs w:val="22"/>
          <w:lang w:val="es-PE" w:eastAsia="es-PE"/>
        </w:rPr>
      </w:pPr>
      <w:r w:rsidRPr="002F2DD8">
        <w:rPr>
          <w:rFonts w:ascii="Arial" w:hAnsi="Arial" w:cs="Arial"/>
          <w:b/>
          <w:smallCaps/>
          <w:sz w:val="22"/>
          <w:szCs w:val="22"/>
          <w:lang w:val="es-PE" w:eastAsia="es-PE"/>
        </w:rPr>
        <w:t xml:space="preserve">Actividades </w:t>
      </w:r>
      <w:r w:rsidR="0077484B" w:rsidRPr="002F2DD8">
        <w:rPr>
          <w:rFonts w:ascii="Arial" w:hAnsi="Arial" w:cs="Arial"/>
          <w:b/>
          <w:smallCaps/>
          <w:sz w:val="22"/>
          <w:szCs w:val="22"/>
          <w:lang w:val="es-PE" w:eastAsia="es-PE"/>
        </w:rPr>
        <w:t xml:space="preserve">  </w:t>
      </w:r>
    </w:p>
    <w:p w14:paraId="4F372CFF" w14:textId="77777777" w:rsidR="0077484B" w:rsidRPr="002F2DD8" w:rsidRDefault="0077484B" w:rsidP="002F2DD8">
      <w:pPr>
        <w:pStyle w:val="Prrafodelista"/>
        <w:spacing w:line="360" w:lineRule="auto"/>
        <w:rPr>
          <w:rFonts w:ascii="Arial" w:hAnsi="Arial" w:cs="Arial"/>
          <w:b/>
          <w:smallCaps/>
          <w:sz w:val="22"/>
          <w:szCs w:val="22"/>
          <w:lang w:val="es-PE" w:eastAsia="es-PE"/>
        </w:rPr>
      </w:pPr>
      <w:r w:rsidRPr="002F2DD8">
        <w:rPr>
          <w:rFonts w:ascii="Arial" w:hAnsi="Arial" w:cs="Arial"/>
          <w:b/>
          <w:smallCaps/>
          <w:sz w:val="22"/>
          <w:szCs w:val="22"/>
          <w:lang w:val="es-PE" w:eastAsia="es-PE"/>
        </w:rPr>
        <w:t xml:space="preserve">Durante la consultoría se deberá realizar  </w:t>
      </w:r>
    </w:p>
    <w:p w14:paraId="12C606DC" w14:textId="77777777" w:rsidR="0077484B" w:rsidRPr="002F2DD8" w:rsidRDefault="0077484B" w:rsidP="002F2DD8">
      <w:pPr>
        <w:pStyle w:val="Prrafodelista"/>
        <w:spacing w:after="200" w:line="360" w:lineRule="auto"/>
        <w:rPr>
          <w:rFonts w:ascii="Arial" w:hAnsi="Arial" w:cs="Arial"/>
          <w:color w:val="000000"/>
          <w:sz w:val="22"/>
          <w:szCs w:val="22"/>
          <w:lang w:val="es-ES"/>
        </w:rPr>
      </w:pPr>
    </w:p>
    <w:p w14:paraId="5201DFB1" w14:textId="77777777" w:rsidR="0077484B" w:rsidRPr="002F2DD8" w:rsidRDefault="0077484B" w:rsidP="002F2DD8">
      <w:pPr>
        <w:pStyle w:val="Prrafodelista"/>
        <w:numPr>
          <w:ilvl w:val="1"/>
          <w:numId w:val="1"/>
        </w:numPr>
        <w:spacing w:after="200" w:line="360" w:lineRule="auto"/>
        <w:ind w:left="1080"/>
        <w:rPr>
          <w:rFonts w:ascii="Arial" w:hAnsi="Arial" w:cs="Arial"/>
          <w:b/>
          <w:color w:val="000000"/>
          <w:sz w:val="22"/>
          <w:szCs w:val="22"/>
          <w:lang w:val="es-ES"/>
        </w:rPr>
      </w:pPr>
      <w:r w:rsidRPr="002F2DD8">
        <w:rPr>
          <w:rFonts w:ascii="Arial" w:hAnsi="Arial" w:cs="Arial"/>
          <w:b/>
          <w:color w:val="000000"/>
          <w:sz w:val="22"/>
          <w:szCs w:val="22"/>
          <w:u w:val="single"/>
          <w:lang w:val="es-ES"/>
        </w:rPr>
        <w:t>Estudio de gabinete</w:t>
      </w:r>
      <w:r w:rsidRPr="002F2DD8">
        <w:rPr>
          <w:rFonts w:ascii="Arial" w:hAnsi="Arial" w:cs="Arial"/>
          <w:b/>
          <w:color w:val="000000"/>
          <w:sz w:val="22"/>
          <w:szCs w:val="22"/>
          <w:lang w:val="es-ES"/>
        </w:rPr>
        <w:t xml:space="preserve">: </w:t>
      </w:r>
    </w:p>
    <w:p w14:paraId="2CEF64DD" w14:textId="77777777" w:rsidR="00387EB1" w:rsidRPr="002F2DD8" w:rsidRDefault="0077484B" w:rsidP="002F2DD8">
      <w:pPr>
        <w:pStyle w:val="Prrafodelista"/>
        <w:numPr>
          <w:ilvl w:val="0"/>
          <w:numId w:val="2"/>
        </w:numPr>
        <w:spacing w:after="200" w:line="360" w:lineRule="auto"/>
        <w:ind w:left="1350" w:hanging="270"/>
        <w:rPr>
          <w:rFonts w:ascii="Arial" w:hAnsi="Arial" w:cs="Arial"/>
          <w:color w:val="000000"/>
          <w:sz w:val="22"/>
          <w:szCs w:val="22"/>
          <w:lang w:val="es-ES"/>
        </w:rPr>
      </w:pPr>
      <w:r w:rsidRPr="002F2DD8">
        <w:rPr>
          <w:rFonts w:ascii="Arial" w:hAnsi="Arial" w:cs="Arial"/>
          <w:color w:val="000000"/>
          <w:sz w:val="22"/>
          <w:szCs w:val="22"/>
          <w:lang w:val="es-ES"/>
        </w:rPr>
        <w:lastRenderedPageBreak/>
        <w:t>Revisión de la normativa</w:t>
      </w:r>
      <w:r w:rsidR="00387EB1" w:rsidRPr="002F2DD8">
        <w:rPr>
          <w:rFonts w:ascii="Arial" w:hAnsi="Arial" w:cs="Arial"/>
          <w:color w:val="000000"/>
          <w:sz w:val="22"/>
          <w:szCs w:val="22"/>
          <w:lang w:val="es-ES"/>
        </w:rPr>
        <w:t>, estudios</w:t>
      </w:r>
      <w:r w:rsidRPr="002F2DD8">
        <w:rPr>
          <w:rFonts w:ascii="Arial" w:hAnsi="Arial" w:cs="Arial"/>
          <w:color w:val="000000"/>
          <w:sz w:val="22"/>
          <w:szCs w:val="22"/>
          <w:lang w:val="es-ES"/>
        </w:rPr>
        <w:t xml:space="preserve"> y documentación general sobre</w:t>
      </w:r>
      <w:r w:rsidR="00387EB1" w:rsidRPr="002F2DD8">
        <w:rPr>
          <w:rFonts w:ascii="Arial" w:hAnsi="Arial" w:cs="Arial"/>
          <w:color w:val="000000"/>
          <w:sz w:val="22"/>
          <w:szCs w:val="22"/>
          <w:lang w:val="es-ES"/>
        </w:rPr>
        <w:t xml:space="preserve"> </w:t>
      </w:r>
      <w:r w:rsidR="004A569A" w:rsidRPr="002F2DD8">
        <w:rPr>
          <w:rFonts w:ascii="Arial" w:hAnsi="Arial" w:cs="Arial"/>
          <w:sz w:val="22"/>
          <w:szCs w:val="22"/>
          <w:lang w:val="es-AR"/>
        </w:rPr>
        <w:t xml:space="preserve">Oficinas de Transferencia Tecnológica (OTT) </w:t>
      </w:r>
      <w:r w:rsidR="00387EB1" w:rsidRPr="002F2DD8">
        <w:rPr>
          <w:rFonts w:ascii="Arial" w:hAnsi="Arial" w:cs="Arial"/>
          <w:color w:val="000000"/>
          <w:sz w:val="22"/>
          <w:szCs w:val="22"/>
          <w:lang w:val="es-ES"/>
        </w:rPr>
        <w:t>en el país.</w:t>
      </w:r>
    </w:p>
    <w:p w14:paraId="76FD4AC6" w14:textId="77777777" w:rsidR="005C6965" w:rsidRPr="002F2DD8" w:rsidRDefault="005C6965" w:rsidP="002F2DD8">
      <w:pPr>
        <w:pStyle w:val="Prrafodelista"/>
        <w:numPr>
          <w:ilvl w:val="0"/>
          <w:numId w:val="2"/>
        </w:numPr>
        <w:spacing w:after="200" w:line="360" w:lineRule="auto"/>
        <w:ind w:left="1350" w:hanging="270"/>
        <w:rPr>
          <w:rFonts w:ascii="Arial" w:hAnsi="Arial" w:cs="Arial"/>
          <w:color w:val="000000"/>
          <w:sz w:val="22"/>
          <w:szCs w:val="22"/>
          <w:lang w:val="es-ES"/>
        </w:rPr>
      </w:pPr>
      <w:r w:rsidRPr="002F2DD8">
        <w:rPr>
          <w:rFonts w:ascii="Arial" w:hAnsi="Arial" w:cs="Arial"/>
          <w:color w:val="000000"/>
          <w:sz w:val="22"/>
          <w:szCs w:val="22"/>
          <w:lang w:val="es-ES"/>
        </w:rPr>
        <w:t>Revisión de literatura internacional</w:t>
      </w:r>
      <w:r w:rsidR="00630B09" w:rsidRPr="002F2DD8">
        <w:rPr>
          <w:rFonts w:ascii="Arial" w:hAnsi="Arial" w:cs="Arial"/>
          <w:color w:val="000000"/>
          <w:sz w:val="22"/>
          <w:szCs w:val="22"/>
          <w:lang w:val="es-ES"/>
        </w:rPr>
        <w:t xml:space="preserve"> (ver bibliografía mínima). </w:t>
      </w:r>
      <w:r w:rsidR="008A5CC6" w:rsidRPr="002F2DD8">
        <w:rPr>
          <w:rFonts w:ascii="Arial" w:hAnsi="Arial" w:cs="Arial"/>
          <w:color w:val="000000"/>
          <w:sz w:val="22"/>
          <w:szCs w:val="22"/>
          <w:lang w:val="es-ES"/>
        </w:rPr>
        <w:t>Además revisar</w:t>
      </w:r>
      <w:r w:rsidRPr="002F2DD8">
        <w:rPr>
          <w:rFonts w:ascii="Arial" w:hAnsi="Arial" w:cs="Arial"/>
          <w:color w:val="000000"/>
          <w:sz w:val="22"/>
          <w:szCs w:val="22"/>
          <w:lang w:val="es-ES"/>
        </w:rPr>
        <w:t xml:space="preserve">: </w:t>
      </w:r>
      <w:proofErr w:type="spellStart"/>
      <w:r w:rsidRPr="002F2DD8">
        <w:rPr>
          <w:rFonts w:ascii="Arial" w:hAnsi="Arial" w:cs="Arial"/>
          <w:color w:val="000000"/>
          <w:sz w:val="22"/>
          <w:szCs w:val="22"/>
          <w:lang w:val="es-ES"/>
        </w:rPr>
        <w:t>RedUE</w:t>
      </w:r>
      <w:proofErr w:type="spellEnd"/>
      <w:r w:rsidRPr="002F2DD8">
        <w:rPr>
          <w:rFonts w:ascii="Arial" w:hAnsi="Arial" w:cs="Arial"/>
          <w:color w:val="000000"/>
          <w:sz w:val="22"/>
          <w:szCs w:val="22"/>
          <w:lang w:val="es-ES"/>
        </w:rPr>
        <w:t xml:space="preserve">-ALCUE (resultado del Primer Congreso Internacional </w:t>
      </w:r>
      <w:r w:rsidR="00630B09" w:rsidRPr="002F2DD8">
        <w:rPr>
          <w:rFonts w:ascii="Arial" w:hAnsi="Arial" w:cs="Arial"/>
          <w:color w:val="000000"/>
          <w:sz w:val="22"/>
          <w:szCs w:val="22"/>
          <w:lang w:val="es-ES"/>
        </w:rPr>
        <w:t xml:space="preserve">- </w:t>
      </w:r>
      <w:r w:rsidR="00630B09" w:rsidRPr="002F2DD8">
        <w:rPr>
          <w:rFonts w:ascii="Arial" w:hAnsi="Arial" w:cs="Arial"/>
          <w:color w:val="222222"/>
          <w:sz w:val="22"/>
          <w:szCs w:val="22"/>
          <w:shd w:val="clear" w:color="auto" w:fill="FFFFFF"/>
        </w:rPr>
        <w:t>“Promoviendo la relación de la Universidad con el mundo productivo. Palanca para el desarrollo y la innovación en el espacio ALCUE.</w:t>
      </w:r>
      <w:r w:rsidR="00630B09" w:rsidRPr="002F2DD8">
        <w:rPr>
          <w:rFonts w:ascii="Arial" w:hAnsi="Arial" w:cs="Arial"/>
          <w:color w:val="000000"/>
          <w:sz w:val="22"/>
          <w:szCs w:val="22"/>
          <w:lang w:val="es-ES"/>
        </w:rPr>
        <w:t xml:space="preserve"> </w:t>
      </w:r>
      <w:r w:rsidRPr="002F2DD8">
        <w:rPr>
          <w:rFonts w:ascii="Arial" w:hAnsi="Arial" w:cs="Arial"/>
          <w:color w:val="000000"/>
          <w:sz w:val="22"/>
          <w:szCs w:val="22"/>
          <w:lang w:val="es-ES"/>
        </w:rPr>
        <w:t>de Octubre de 2013), Comisión Económica para América Latina - CEPAL, l</w:t>
      </w:r>
      <w:r w:rsidRPr="002F2DD8">
        <w:rPr>
          <w:rFonts w:ascii="Arial" w:hAnsi="Arial" w:cs="Arial"/>
          <w:bCs/>
          <w:color w:val="000000"/>
          <w:sz w:val="22"/>
          <w:szCs w:val="22"/>
          <w:lang w:val="es-ES"/>
        </w:rPr>
        <w:t>a Unión de Universidades de América Latina y el Caribe, AUTM (</w:t>
      </w:r>
      <w:proofErr w:type="spellStart"/>
      <w:r w:rsidRPr="002F2DD8">
        <w:rPr>
          <w:rFonts w:ascii="Arial" w:hAnsi="Arial" w:cs="Arial"/>
          <w:bCs/>
          <w:color w:val="000000"/>
          <w:sz w:val="22"/>
          <w:szCs w:val="22"/>
          <w:lang w:val="es-ES"/>
        </w:rPr>
        <w:t>Association</w:t>
      </w:r>
      <w:proofErr w:type="spellEnd"/>
      <w:r w:rsidRPr="002F2DD8">
        <w:rPr>
          <w:rFonts w:ascii="Arial" w:hAnsi="Arial" w:cs="Arial"/>
          <w:bCs/>
          <w:color w:val="000000"/>
          <w:sz w:val="22"/>
          <w:szCs w:val="22"/>
          <w:lang w:val="es-ES"/>
        </w:rPr>
        <w:t xml:space="preserve"> of </w:t>
      </w:r>
      <w:proofErr w:type="spellStart"/>
      <w:r w:rsidRPr="002F2DD8">
        <w:rPr>
          <w:rFonts w:ascii="Arial" w:hAnsi="Arial" w:cs="Arial"/>
          <w:bCs/>
          <w:color w:val="000000"/>
          <w:sz w:val="22"/>
          <w:szCs w:val="22"/>
          <w:lang w:val="es-ES"/>
        </w:rPr>
        <w:t>University</w:t>
      </w:r>
      <w:proofErr w:type="spellEnd"/>
      <w:r w:rsidRPr="002F2DD8">
        <w:rPr>
          <w:rFonts w:ascii="Arial" w:hAnsi="Arial" w:cs="Arial"/>
          <w:bCs/>
          <w:color w:val="000000"/>
          <w:sz w:val="22"/>
          <w:szCs w:val="22"/>
          <w:lang w:val="es-ES"/>
        </w:rPr>
        <w:t xml:space="preserve"> </w:t>
      </w:r>
      <w:proofErr w:type="spellStart"/>
      <w:r w:rsidRPr="002F2DD8">
        <w:rPr>
          <w:rFonts w:ascii="Arial" w:hAnsi="Arial" w:cs="Arial"/>
          <w:bCs/>
          <w:color w:val="000000"/>
          <w:sz w:val="22"/>
          <w:szCs w:val="22"/>
          <w:lang w:val="es-ES"/>
        </w:rPr>
        <w:t>Technology</w:t>
      </w:r>
      <w:proofErr w:type="spellEnd"/>
      <w:r w:rsidRPr="002F2DD8">
        <w:rPr>
          <w:rFonts w:ascii="Arial" w:hAnsi="Arial" w:cs="Arial"/>
          <w:bCs/>
          <w:color w:val="000000"/>
          <w:sz w:val="22"/>
          <w:szCs w:val="22"/>
          <w:lang w:val="es-ES"/>
        </w:rPr>
        <w:t xml:space="preserve"> Managers)</w:t>
      </w:r>
      <w:r w:rsidR="008A5CC6" w:rsidRPr="002F2DD8">
        <w:rPr>
          <w:rFonts w:ascii="Arial" w:hAnsi="Arial" w:cs="Arial"/>
          <w:bCs/>
          <w:color w:val="000000"/>
          <w:sz w:val="22"/>
          <w:szCs w:val="22"/>
          <w:lang w:val="es-ES"/>
        </w:rPr>
        <w:t>,</w:t>
      </w:r>
      <w:r w:rsidRPr="002F2DD8">
        <w:rPr>
          <w:rFonts w:ascii="Arial" w:hAnsi="Arial" w:cs="Arial"/>
          <w:bCs/>
          <w:color w:val="000000"/>
          <w:sz w:val="22"/>
          <w:szCs w:val="22"/>
          <w:lang w:val="es-ES"/>
        </w:rPr>
        <w:t xml:space="preserve">  entre otros.</w:t>
      </w:r>
    </w:p>
    <w:p w14:paraId="6E2A7B9F" w14:textId="11C9FAE9" w:rsidR="00387EB1" w:rsidRPr="002F2DD8" w:rsidRDefault="00387EB1" w:rsidP="002F2DD8">
      <w:pPr>
        <w:pStyle w:val="Prrafodelista"/>
        <w:numPr>
          <w:ilvl w:val="0"/>
          <w:numId w:val="2"/>
        </w:numPr>
        <w:spacing w:after="200" w:line="360" w:lineRule="auto"/>
        <w:ind w:left="1350" w:hanging="270"/>
        <w:rPr>
          <w:rFonts w:ascii="Arial" w:hAnsi="Arial" w:cs="Arial"/>
          <w:color w:val="000000"/>
          <w:sz w:val="22"/>
          <w:szCs w:val="22"/>
          <w:lang w:val="es-ES"/>
        </w:rPr>
      </w:pPr>
      <w:r w:rsidRPr="002F2DD8">
        <w:rPr>
          <w:rFonts w:ascii="Arial" w:hAnsi="Arial" w:cs="Arial"/>
          <w:color w:val="000000"/>
          <w:sz w:val="22"/>
          <w:szCs w:val="22"/>
          <w:lang w:val="es-ES"/>
        </w:rPr>
        <w:t>Analizar las experiencias de</w:t>
      </w:r>
      <w:r w:rsidR="004A569A" w:rsidRPr="002F2DD8">
        <w:rPr>
          <w:rFonts w:ascii="Arial" w:hAnsi="Arial" w:cs="Arial"/>
          <w:color w:val="000000"/>
          <w:sz w:val="22"/>
          <w:szCs w:val="22"/>
          <w:lang w:val="es-ES"/>
        </w:rPr>
        <w:t xml:space="preserve"> </w:t>
      </w:r>
      <w:r w:rsidR="004A569A" w:rsidRPr="002F2DD8">
        <w:rPr>
          <w:rFonts w:ascii="Arial" w:hAnsi="Arial" w:cs="Arial"/>
          <w:sz w:val="22"/>
          <w:szCs w:val="22"/>
          <w:lang w:val="es-AR"/>
        </w:rPr>
        <w:t>Oficinas de Transferencia Tecnológica (OTT</w:t>
      </w:r>
      <w:proofErr w:type="gramStart"/>
      <w:r w:rsidR="004A569A" w:rsidRPr="002F2DD8">
        <w:rPr>
          <w:rFonts w:ascii="Arial" w:hAnsi="Arial" w:cs="Arial"/>
          <w:sz w:val="22"/>
          <w:szCs w:val="22"/>
          <w:lang w:val="es-AR"/>
        </w:rPr>
        <w:t xml:space="preserve">) </w:t>
      </w:r>
      <w:r w:rsidRPr="002F2DD8">
        <w:rPr>
          <w:rFonts w:ascii="Arial" w:hAnsi="Arial" w:cs="Arial"/>
          <w:color w:val="000000"/>
          <w:sz w:val="22"/>
          <w:szCs w:val="22"/>
          <w:lang w:val="es-ES"/>
        </w:rPr>
        <w:t xml:space="preserve"> </w:t>
      </w:r>
      <w:r w:rsidR="004A569A" w:rsidRPr="002F2DD8">
        <w:rPr>
          <w:rFonts w:ascii="Arial" w:hAnsi="Arial" w:cs="Arial"/>
          <w:color w:val="000000"/>
          <w:sz w:val="22"/>
          <w:szCs w:val="22"/>
          <w:lang w:val="es-ES"/>
        </w:rPr>
        <w:t>en</w:t>
      </w:r>
      <w:proofErr w:type="gramEnd"/>
      <w:r w:rsidR="004A569A" w:rsidRPr="002F2DD8">
        <w:rPr>
          <w:rFonts w:ascii="Arial" w:hAnsi="Arial" w:cs="Arial"/>
          <w:color w:val="000000"/>
          <w:sz w:val="22"/>
          <w:szCs w:val="22"/>
          <w:lang w:val="es-ES"/>
        </w:rPr>
        <w:t xml:space="preserve"> </w:t>
      </w:r>
      <w:r w:rsidRPr="002F2DD8">
        <w:rPr>
          <w:rFonts w:ascii="Arial" w:hAnsi="Arial" w:cs="Arial"/>
          <w:color w:val="000000"/>
          <w:sz w:val="22"/>
          <w:szCs w:val="22"/>
          <w:lang w:val="es-ES"/>
        </w:rPr>
        <w:t xml:space="preserve">universidades públicas y privadas, </w:t>
      </w:r>
      <w:r w:rsidR="00D962FB">
        <w:rPr>
          <w:rFonts w:ascii="Arial" w:hAnsi="Arial" w:cs="Arial"/>
          <w:color w:val="000000"/>
          <w:sz w:val="22"/>
          <w:szCs w:val="22"/>
          <w:lang w:val="es-ES"/>
        </w:rPr>
        <w:t xml:space="preserve">enfocándose en  </w:t>
      </w:r>
      <w:r w:rsidR="00D962FB" w:rsidRPr="002F2DD8">
        <w:rPr>
          <w:rFonts w:ascii="Arial" w:hAnsi="Arial" w:cs="Arial"/>
          <w:color w:val="000000"/>
          <w:sz w:val="22"/>
          <w:szCs w:val="22"/>
          <w:lang w:val="es-ES"/>
        </w:rPr>
        <w:t>estructuras, personal, procesos, prácticas, estrategias, normatividad legal</w:t>
      </w:r>
      <w:r w:rsidR="00D962FB">
        <w:rPr>
          <w:rFonts w:ascii="Arial" w:hAnsi="Arial" w:cs="Arial"/>
          <w:color w:val="000000"/>
          <w:sz w:val="22"/>
          <w:szCs w:val="22"/>
          <w:lang w:val="es-ES"/>
        </w:rPr>
        <w:t>, fuentes de financiamiento</w:t>
      </w:r>
      <w:r w:rsidR="00D962FB" w:rsidRPr="002F2DD8">
        <w:rPr>
          <w:rFonts w:ascii="Arial" w:hAnsi="Arial" w:cs="Arial"/>
          <w:color w:val="000000"/>
          <w:sz w:val="22"/>
          <w:szCs w:val="22"/>
          <w:lang w:val="es-ES"/>
        </w:rPr>
        <w:t xml:space="preserve">. </w:t>
      </w:r>
      <w:r w:rsidR="00D962FB">
        <w:rPr>
          <w:rFonts w:ascii="Arial" w:hAnsi="Arial" w:cs="Arial"/>
          <w:color w:val="000000"/>
          <w:sz w:val="22"/>
          <w:szCs w:val="22"/>
          <w:lang w:val="es-ES"/>
        </w:rPr>
        <w:t>E</w:t>
      </w:r>
      <w:r w:rsidR="004A569A" w:rsidRPr="002F2DD8">
        <w:rPr>
          <w:rFonts w:ascii="Arial" w:hAnsi="Arial" w:cs="Arial"/>
          <w:color w:val="000000"/>
          <w:sz w:val="22"/>
          <w:szCs w:val="22"/>
          <w:lang w:val="es-ES"/>
        </w:rPr>
        <w:t>n particular</w:t>
      </w:r>
      <w:r w:rsidR="00D962FB">
        <w:rPr>
          <w:rFonts w:ascii="Arial" w:hAnsi="Arial" w:cs="Arial"/>
          <w:color w:val="000000"/>
          <w:sz w:val="22"/>
          <w:szCs w:val="22"/>
          <w:lang w:val="es-ES"/>
        </w:rPr>
        <w:t xml:space="preserve"> analizar las OTT</w:t>
      </w:r>
      <w:r w:rsidR="004A569A" w:rsidRPr="002F2DD8">
        <w:rPr>
          <w:rFonts w:ascii="Arial" w:hAnsi="Arial" w:cs="Arial"/>
          <w:color w:val="000000"/>
          <w:sz w:val="22"/>
          <w:szCs w:val="22"/>
          <w:lang w:val="es-ES"/>
        </w:rPr>
        <w:t xml:space="preserve"> </w:t>
      </w:r>
      <w:r w:rsidRPr="002F2DD8">
        <w:rPr>
          <w:rFonts w:ascii="Arial" w:hAnsi="Arial" w:cs="Arial"/>
          <w:color w:val="000000"/>
          <w:sz w:val="22"/>
          <w:szCs w:val="22"/>
          <w:lang w:val="es-ES"/>
        </w:rPr>
        <w:t xml:space="preserve">de la Universidad Cayetano Heredia, Pontifica Universidad Católica del Perú, Universidad Nacional mayor de San Marcos y </w:t>
      </w:r>
      <w:proofErr w:type="gramStart"/>
      <w:r w:rsidRPr="002F2DD8">
        <w:rPr>
          <w:rFonts w:ascii="Arial" w:hAnsi="Arial" w:cs="Arial"/>
          <w:color w:val="000000"/>
          <w:sz w:val="22"/>
          <w:szCs w:val="22"/>
          <w:lang w:val="es-ES"/>
        </w:rPr>
        <w:t>la  Universidad</w:t>
      </w:r>
      <w:proofErr w:type="gramEnd"/>
      <w:r w:rsidRPr="002F2DD8">
        <w:rPr>
          <w:rFonts w:ascii="Arial" w:hAnsi="Arial" w:cs="Arial"/>
          <w:color w:val="000000"/>
          <w:sz w:val="22"/>
          <w:szCs w:val="22"/>
          <w:lang w:val="es-ES"/>
        </w:rPr>
        <w:t xml:space="preserve">  Nacional Agraria La Molina.</w:t>
      </w:r>
    </w:p>
    <w:p w14:paraId="6ED57FF7" w14:textId="3C2D18ED" w:rsidR="00387EB1" w:rsidRPr="002F2DD8" w:rsidRDefault="00387EB1" w:rsidP="002F2DD8">
      <w:pPr>
        <w:pStyle w:val="Prrafodelista"/>
        <w:numPr>
          <w:ilvl w:val="0"/>
          <w:numId w:val="2"/>
        </w:numPr>
        <w:spacing w:after="200" w:line="360" w:lineRule="auto"/>
        <w:ind w:left="1350" w:hanging="270"/>
        <w:rPr>
          <w:rFonts w:ascii="Arial" w:hAnsi="Arial" w:cs="Arial"/>
          <w:color w:val="000000"/>
          <w:sz w:val="22"/>
          <w:szCs w:val="22"/>
          <w:lang w:val="es-ES"/>
        </w:rPr>
      </w:pPr>
      <w:r w:rsidRPr="002F2DD8">
        <w:rPr>
          <w:rFonts w:ascii="Arial" w:hAnsi="Arial" w:cs="Arial"/>
          <w:color w:val="000000"/>
          <w:sz w:val="22"/>
          <w:szCs w:val="22"/>
          <w:lang w:val="es-ES"/>
        </w:rPr>
        <w:t xml:space="preserve">Analizar las experiencias </w:t>
      </w:r>
      <w:r w:rsidR="004A569A" w:rsidRPr="002F2DD8">
        <w:rPr>
          <w:rFonts w:ascii="Arial" w:hAnsi="Arial" w:cs="Arial"/>
          <w:color w:val="000000"/>
          <w:sz w:val="22"/>
          <w:szCs w:val="22"/>
          <w:lang w:val="es-ES"/>
        </w:rPr>
        <w:t xml:space="preserve">en </w:t>
      </w:r>
      <w:r w:rsidR="004A569A" w:rsidRPr="002F2DD8">
        <w:rPr>
          <w:rFonts w:ascii="Arial" w:hAnsi="Arial" w:cs="Arial"/>
          <w:sz w:val="22"/>
          <w:szCs w:val="22"/>
          <w:lang w:val="es-AR"/>
        </w:rPr>
        <w:t>Transferencia Tecnológica</w:t>
      </w:r>
      <w:r w:rsidR="005C6965" w:rsidRPr="002F2DD8">
        <w:rPr>
          <w:rFonts w:ascii="Arial" w:hAnsi="Arial" w:cs="Arial"/>
          <w:sz w:val="22"/>
          <w:szCs w:val="22"/>
          <w:lang w:val="es-AR"/>
        </w:rPr>
        <w:t xml:space="preserve"> y la presencia de Oficinas de Transferencia </w:t>
      </w:r>
      <w:r w:rsidR="00630B09" w:rsidRPr="002F2DD8">
        <w:rPr>
          <w:rFonts w:ascii="Arial" w:hAnsi="Arial" w:cs="Arial"/>
          <w:sz w:val="22"/>
          <w:szCs w:val="22"/>
          <w:lang w:val="es-AR"/>
        </w:rPr>
        <w:t>Tecnológica</w:t>
      </w:r>
      <w:r w:rsidR="005C6965" w:rsidRPr="002F2DD8">
        <w:rPr>
          <w:rFonts w:ascii="Arial" w:hAnsi="Arial" w:cs="Arial"/>
          <w:sz w:val="22"/>
          <w:szCs w:val="22"/>
          <w:lang w:val="es-AR"/>
        </w:rPr>
        <w:t xml:space="preserve"> o similares </w:t>
      </w:r>
      <w:r w:rsidR="004A569A" w:rsidRPr="002F2DD8">
        <w:rPr>
          <w:rFonts w:ascii="Arial" w:hAnsi="Arial" w:cs="Arial"/>
          <w:color w:val="000000"/>
          <w:sz w:val="22"/>
          <w:szCs w:val="22"/>
          <w:lang w:val="es-ES"/>
        </w:rPr>
        <w:t xml:space="preserve"> en i</w:t>
      </w:r>
      <w:r w:rsidRPr="002F2DD8">
        <w:rPr>
          <w:rFonts w:ascii="Arial" w:hAnsi="Arial" w:cs="Arial"/>
          <w:color w:val="000000"/>
          <w:sz w:val="22"/>
          <w:szCs w:val="22"/>
          <w:lang w:val="es-ES"/>
        </w:rPr>
        <w:t>nstitutos de investigación p</w:t>
      </w:r>
      <w:r w:rsidR="00191D81" w:rsidRPr="002F2DD8">
        <w:rPr>
          <w:rFonts w:ascii="Arial" w:hAnsi="Arial" w:cs="Arial"/>
          <w:color w:val="000000"/>
          <w:sz w:val="22"/>
          <w:szCs w:val="22"/>
          <w:lang w:val="es-ES"/>
        </w:rPr>
        <w:t>úblico</w:t>
      </w:r>
      <w:r w:rsidRPr="002F2DD8">
        <w:rPr>
          <w:rFonts w:ascii="Arial" w:hAnsi="Arial" w:cs="Arial"/>
          <w:color w:val="000000"/>
          <w:sz w:val="22"/>
          <w:szCs w:val="22"/>
          <w:lang w:val="es-ES"/>
        </w:rPr>
        <w:t>s y privad</w:t>
      </w:r>
      <w:r w:rsidR="00191D81" w:rsidRPr="002F2DD8">
        <w:rPr>
          <w:rFonts w:ascii="Arial" w:hAnsi="Arial" w:cs="Arial"/>
          <w:color w:val="000000"/>
          <w:sz w:val="22"/>
          <w:szCs w:val="22"/>
          <w:lang w:val="es-ES"/>
        </w:rPr>
        <w:t>o</w:t>
      </w:r>
      <w:r w:rsidRPr="002F2DD8">
        <w:rPr>
          <w:rFonts w:ascii="Arial" w:hAnsi="Arial" w:cs="Arial"/>
          <w:color w:val="000000"/>
          <w:sz w:val="22"/>
          <w:szCs w:val="22"/>
          <w:lang w:val="es-ES"/>
        </w:rPr>
        <w:t>s</w:t>
      </w:r>
      <w:r w:rsidR="00D962FB">
        <w:rPr>
          <w:rFonts w:ascii="Arial" w:hAnsi="Arial" w:cs="Arial"/>
          <w:color w:val="000000"/>
          <w:sz w:val="22"/>
          <w:szCs w:val="22"/>
          <w:lang w:val="es-ES"/>
        </w:rPr>
        <w:t xml:space="preserve"> enfocándose en  </w:t>
      </w:r>
      <w:r w:rsidR="00D962FB" w:rsidRPr="002F2DD8">
        <w:rPr>
          <w:rFonts w:ascii="Arial" w:hAnsi="Arial" w:cs="Arial"/>
          <w:color w:val="000000"/>
          <w:sz w:val="22"/>
          <w:szCs w:val="22"/>
          <w:lang w:val="es-ES"/>
        </w:rPr>
        <w:t>estructuras, personal, procesos, prácticas, estrategias, normatividad legal</w:t>
      </w:r>
      <w:r w:rsidR="00D962FB">
        <w:rPr>
          <w:rFonts w:ascii="Arial" w:hAnsi="Arial" w:cs="Arial"/>
          <w:color w:val="000000"/>
          <w:sz w:val="22"/>
          <w:szCs w:val="22"/>
          <w:lang w:val="es-ES"/>
        </w:rPr>
        <w:t>, fuentes de financiamiento</w:t>
      </w:r>
      <w:r w:rsidR="00D962FB" w:rsidRPr="002F2DD8">
        <w:rPr>
          <w:rFonts w:ascii="Arial" w:hAnsi="Arial" w:cs="Arial"/>
          <w:color w:val="000000"/>
          <w:sz w:val="22"/>
          <w:szCs w:val="22"/>
          <w:lang w:val="es-ES"/>
        </w:rPr>
        <w:t xml:space="preserve">. </w:t>
      </w:r>
      <w:r w:rsidR="00D962FB">
        <w:rPr>
          <w:rFonts w:ascii="Arial" w:hAnsi="Arial" w:cs="Arial"/>
          <w:color w:val="000000"/>
          <w:sz w:val="22"/>
          <w:szCs w:val="22"/>
          <w:lang w:val="es-ES"/>
        </w:rPr>
        <w:t>E</w:t>
      </w:r>
      <w:r w:rsidR="00D962FB" w:rsidRPr="002F2DD8">
        <w:rPr>
          <w:rFonts w:ascii="Arial" w:hAnsi="Arial" w:cs="Arial"/>
          <w:color w:val="000000"/>
          <w:sz w:val="22"/>
          <w:szCs w:val="22"/>
          <w:lang w:val="es-ES"/>
        </w:rPr>
        <w:t>n particular</w:t>
      </w:r>
      <w:r w:rsidR="00D962FB">
        <w:rPr>
          <w:rFonts w:ascii="Arial" w:hAnsi="Arial" w:cs="Arial"/>
          <w:color w:val="000000"/>
          <w:sz w:val="22"/>
          <w:szCs w:val="22"/>
          <w:lang w:val="es-ES"/>
        </w:rPr>
        <w:t xml:space="preserve"> analizar al </w:t>
      </w:r>
      <w:r w:rsidR="00780288" w:rsidRPr="002F2DD8">
        <w:rPr>
          <w:rFonts w:ascii="Arial" w:hAnsi="Arial" w:cs="Arial"/>
          <w:color w:val="000000"/>
          <w:sz w:val="22"/>
          <w:szCs w:val="22"/>
          <w:lang w:val="es-PE"/>
        </w:rPr>
        <w:t xml:space="preserve">Instituto de Innovación Agraria </w:t>
      </w:r>
      <w:r w:rsidR="00780288" w:rsidRPr="002F2DD8">
        <w:rPr>
          <w:rFonts w:ascii="Arial" w:hAnsi="Arial" w:cs="Arial"/>
          <w:color w:val="000000"/>
          <w:sz w:val="22"/>
          <w:szCs w:val="22"/>
          <w:lang w:val="es-ES"/>
        </w:rPr>
        <w:t>-</w:t>
      </w:r>
      <w:r w:rsidRPr="002F2DD8">
        <w:rPr>
          <w:rFonts w:ascii="Arial" w:hAnsi="Arial" w:cs="Arial"/>
          <w:color w:val="000000"/>
          <w:sz w:val="22"/>
          <w:szCs w:val="22"/>
          <w:lang w:val="es-ES"/>
        </w:rPr>
        <w:t xml:space="preserve"> </w:t>
      </w:r>
      <w:r w:rsidR="00191D81" w:rsidRPr="002F2DD8">
        <w:rPr>
          <w:rFonts w:ascii="Arial" w:hAnsi="Arial" w:cs="Arial"/>
          <w:color w:val="000000"/>
          <w:sz w:val="22"/>
          <w:szCs w:val="22"/>
          <w:lang w:val="es-ES"/>
        </w:rPr>
        <w:t xml:space="preserve">INIA, </w:t>
      </w:r>
      <w:r w:rsidR="00780288" w:rsidRPr="002F2DD8">
        <w:rPr>
          <w:rFonts w:ascii="Arial" w:hAnsi="Arial" w:cs="Arial"/>
          <w:color w:val="000000"/>
          <w:sz w:val="22"/>
          <w:szCs w:val="22"/>
          <w:lang w:val="es-ES"/>
        </w:rPr>
        <w:t xml:space="preserve">Instituto Nacional de Investigación en comunicaciones y Telecomunicaciones - </w:t>
      </w:r>
      <w:r w:rsidR="00191D81" w:rsidRPr="002F2DD8">
        <w:rPr>
          <w:rFonts w:ascii="Arial" w:hAnsi="Arial" w:cs="Arial"/>
          <w:color w:val="000000"/>
          <w:sz w:val="22"/>
          <w:szCs w:val="22"/>
          <w:lang w:val="es-ES"/>
        </w:rPr>
        <w:t>INICTEL-UNI,</w:t>
      </w:r>
      <w:r w:rsidR="00780288" w:rsidRPr="002F2DD8">
        <w:rPr>
          <w:rFonts w:ascii="Arial" w:hAnsi="Arial" w:cs="Arial"/>
          <w:color w:val="000000"/>
          <w:sz w:val="22"/>
          <w:szCs w:val="22"/>
          <w:lang w:val="es-ES"/>
        </w:rPr>
        <w:t xml:space="preserve"> Instituto Tecnológico de la Producción (ITP), así como de los</w:t>
      </w:r>
      <w:r w:rsidR="00191D81" w:rsidRPr="002F2DD8">
        <w:rPr>
          <w:rFonts w:ascii="Arial" w:hAnsi="Arial" w:cs="Arial"/>
          <w:color w:val="000000"/>
          <w:sz w:val="22"/>
          <w:szCs w:val="22"/>
          <w:lang w:val="es-ES"/>
        </w:rPr>
        <w:t xml:space="preserve"> Centros de Innovación y Transferencia  Tecnológica, CITES-PERÚ</w:t>
      </w:r>
      <w:r w:rsidR="00780288" w:rsidRPr="002F2DD8">
        <w:rPr>
          <w:rFonts w:ascii="Arial" w:hAnsi="Arial" w:cs="Arial"/>
          <w:color w:val="000000"/>
          <w:sz w:val="22"/>
          <w:szCs w:val="22"/>
          <w:lang w:val="es-ES"/>
        </w:rPr>
        <w:t xml:space="preserve"> y la</w:t>
      </w:r>
      <w:r w:rsidR="00191D81" w:rsidRPr="002F2DD8">
        <w:rPr>
          <w:rFonts w:ascii="Arial" w:hAnsi="Arial" w:cs="Arial"/>
          <w:color w:val="000000"/>
          <w:sz w:val="22"/>
          <w:szCs w:val="22"/>
          <w:lang w:val="es-ES"/>
        </w:rPr>
        <w:t xml:space="preserve"> </w:t>
      </w:r>
      <w:r w:rsidR="00780288" w:rsidRPr="002F2DD8">
        <w:rPr>
          <w:rFonts w:ascii="Arial" w:hAnsi="Arial" w:cs="Arial"/>
          <w:color w:val="000000"/>
          <w:sz w:val="22"/>
          <w:szCs w:val="22"/>
          <w:lang w:val="es-PE"/>
        </w:rPr>
        <w:t xml:space="preserve">Red </w:t>
      </w:r>
      <w:proofErr w:type="spellStart"/>
      <w:r w:rsidR="00780288" w:rsidRPr="002F2DD8">
        <w:rPr>
          <w:rFonts w:ascii="Arial" w:hAnsi="Arial" w:cs="Arial"/>
          <w:color w:val="000000"/>
          <w:sz w:val="22"/>
          <w:szCs w:val="22"/>
          <w:lang w:val="es-PE"/>
        </w:rPr>
        <w:t>IDi</w:t>
      </w:r>
      <w:proofErr w:type="spellEnd"/>
      <w:r w:rsidR="00780288" w:rsidRPr="002F2DD8">
        <w:rPr>
          <w:rFonts w:ascii="Arial" w:hAnsi="Arial" w:cs="Arial"/>
          <w:color w:val="000000"/>
          <w:sz w:val="22"/>
          <w:szCs w:val="22"/>
          <w:lang w:val="es-PE"/>
        </w:rPr>
        <w:t xml:space="preserve"> (Red de investigación, desarrollo e innovación).</w:t>
      </w:r>
    </w:p>
    <w:p w14:paraId="0F9B14A7" w14:textId="77777777" w:rsidR="0077484B" w:rsidRPr="002F2DD8" w:rsidRDefault="00387EB1" w:rsidP="002F2DD8">
      <w:pPr>
        <w:pStyle w:val="Prrafodelista"/>
        <w:numPr>
          <w:ilvl w:val="0"/>
          <w:numId w:val="2"/>
        </w:numPr>
        <w:spacing w:after="200" w:line="360" w:lineRule="auto"/>
        <w:ind w:left="1350" w:hanging="270"/>
        <w:rPr>
          <w:rFonts w:ascii="Arial" w:hAnsi="Arial" w:cs="Arial"/>
          <w:color w:val="000000"/>
          <w:sz w:val="22"/>
          <w:szCs w:val="22"/>
          <w:lang w:val="es-ES"/>
        </w:rPr>
      </w:pPr>
      <w:r w:rsidRPr="002F2DD8">
        <w:rPr>
          <w:rFonts w:ascii="Arial" w:hAnsi="Arial" w:cs="Arial"/>
          <w:color w:val="000000"/>
          <w:sz w:val="22"/>
          <w:szCs w:val="22"/>
          <w:lang w:val="es-ES"/>
        </w:rPr>
        <w:t xml:space="preserve">Búsqueda de información sobre experiencias </w:t>
      </w:r>
      <w:r w:rsidR="004A569A" w:rsidRPr="002F2DD8">
        <w:rPr>
          <w:rFonts w:ascii="Arial" w:hAnsi="Arial" w:cs="Arial"/>
          <w:color w:val="000000"/>
          <w:sz w:val="22"/>
          <w:szCs w:val="22"/>
          <w:lang w:val="es-ES"/>
        </w:rPr>
        <w:t xml:space="preserve">de </w:t>
      </w:r>
      <w:r w:rsidR="004A569A" w:rsidRPr="002F2DD8">
        <w:rPr>
          <w:rFonts w:ascii="Arial" w:hAnsi="Arial" w:cs="Arial"/>
          <w:sz w:val="22"/>
          <w:szCs w:val="22"/>
          <w:lang w:val="es-AR"/>
        </w:rPr>
        <w:t>Transferencia Tecnológica</w:t>
      </w:r>
      <w:r w:rsidR="004A569A" w:rsidRPr="002F2DD8">
        <w:rPr>
          <w:rFonts w:ascii="Arial" w:hAnsi="Arial" w:cs="Arial"/>
          <w:color w:val="000000"/>
          <w:sz w:val="22"/>
          <w:szCs w:val="22"/>
          <w:lang w:val="es-ES"/>
        </w:rPr>
        <w:t xml:space="preserve">  y presencia de </w:t>
      </w:r>
      <w:proofErr w:type="spellStart"/>
      <w:r w:rsidR="004A569A" w:rsidRPr="002F2DD8">
        <w:rPr>
          <w:rFonts w:ascii="Arial" w:hAnsi="Arial" w:cs="Arial"/>
          <w:color w:val="000000"/>
          <w:sz w:val="22"/>
          <w:szCs w:val="22"/>
          <w:lang w:val="es-ES"/>
        </w:rPr>
        <w:t>OTTs</w:t>
      </w:r>
      <w:proofErr w:type="spellEnd"/>
      <w:r w:rsidR="004A569A" w:rsidRPr="002F2DD8">
        <w:rPr>
          <w:rFonts w:ascii="Arial" w:hAnsi="Arial" w:cs="Arial"/>
          <w:color w:val="000000"/>
          <w:sz w:val="22"/>
          <w:szCs w:val="22"/>
          <w:lang w:val="es-ES"/>
        </w:rPr>
        <w:t xml:space="preserve"> </w:t>
      </w:r>
      <w:r w:rsidRPr="002F2DD8">
        <w:rPr>
          <w:rFonts w:ascii="Arial" w:hAnsi="Arial" w:cs="Arial"/>
          <w:color w:val="000000"/>
          <w:sz w:val="22"/>
          <w:szCs w:val="22"/>
          <w:lang w:val="es-ES"/>
        </w:rPr>
        <w:t xml:space="preserve">en </w:t>
      </w:r>
      <w:r w:rsidR="00630B09" w:rsidRPr="002F2DD8">
        <w:rPr>
          <w:rFonts w:ascii="Arial" w:hAnsi="Arial" w:cs="Arial"/>
          <w:color w:val="000000"/>
          <w:sz w:val="22"/>
          <w:szCs w:val="22"/>
          <w:lang w:val="es-ES"/>
        </w:rPr>
        <w:t xml:space="preserve">las 4 </w:t>
      </w:r>
      <w:r w:rsidR="00627D3D" w:rsidRPr="002F2DD8">
        <w:rPr>
          <w:rFonts w:ascii="Arial" w:hAnsi="Arial" w:cs="Arial"/>
          <w:color w:val="000000"/>
          <w:sz w:val="22"/>
          <w:szCs w:val="22"/>
          <w:lang w:val="es-ES"/>
        </w:rPr>
        <w:t>universidades</w:t>
      </w:r>
      <w:r w:rsidR="00630B09" w:rsidRPr="002F2DD8">
        <w:rPr>
          <w:rFonts w:ascii="Arial" w:hAnsi="Arial" w:cs="Arial"/>
          <w:color w:val="000000"/>
          <w:sz w:val="22"/>
          <w:szCs w:val="22"/>
          <w:lang w:val="es-ES"/>
        </w:rPr>
        <w:t xml:space="preserve"> del interior del país con mayor producción </w:t>
      </w:r>
      <w:r w:rsidR="00627D3D" w:rsidRPr="002F2DD8">
        <w:rPr>
          <w:rFonts w:ascii="Arial" w:hAnsi="Arial" w:cs="Arial"/>
          <w:color w:val="000000"/>
          <w:sz w:val="22"/>
          <w:szCs w:val="22"/>
          <w:lang w:val="es-ES"/>
        </w:rPr>
        <w:t>científica</w:t>
      </w:r>
      <w:r w:rsidR="00630B09" w:rsidRPr="002F2DD8">
        <w:rPr>
          <w:rFonts w:ascii="Arial" w:hAnsi="Arial" w:cs="Arial"/>
          <w:color w:val="000000"/>
          <w:sz w:val="22"/>
          <w:szCs w:val="22"/>
          <w:lang w:val="es-ES"/>
        </w:rPr>
        <w:t xml:space="preserve"> (</w:t>
      </w:r>
      <w:r w:rsidR="00627D3D" w:rsidRPr="002F2DD8">
        <w:rPr>
          <w:rFonts w:ascii="Arial" w:hAnsi="Arial" w:cs="Arial"/>
          <w:color w:val="000000"/>
          <w:sz w:val="22"/>
          <w:szCs w:val="22"/>
          <w:lang w:val="es-ES"/>
        </w:rPr>
        <w:t>artículos</w:t>
      </w:r>
      <w:r w:rsidR="00630B09" w:rsidRPr="002F2DD8">
        <w:rPr>
          <w:rFonts w:ascii="Arial" w:hAnsi="Arial" w:cs="Arial"/>
          <w:color w:val="000000"/>
          <w:sz w:val="22"/>
          <w:szCs w:val="22"/>
          <w:lang w:val="es-ES"/>
        </w:rPr>
        <w:t xml:space="preserve"> inde</w:t>
      </w:r>
      <w:r w:rsidR="00627D3D" w:rsidRPr="002F2DD8">
        <w:rPr>
          <w:rFonts w:ascii="Arial" w:hAnsi="Arial" w:cs="Arial"/>
          <w:color w:val="000000"/>
          <w:sz w:val="22"/>
          <w:szCs w:val="22"/>
          <w:lang w:val="es-ES"/>
        </w:rPr>
        <w:t>xados)</w:t>
      </w:r>
    </w:p>
    <w:p w14:paraId="4B741020" w14:textId="77777777" w:rsidR="00295A6A" w:rsidRPr="002F2DD8" w:rsidRDefault="00295A6A" w:rsidP="002F2DD8">
      <w:pPr>
        <w:pStyle w:val="Prrafodelista"/>
        <w:numPr>
          <w:ilvl w:val="0"/>
          <w:numId w:val="2"/>
        </w:numPr>
        <w:spacing w:after="200" w:line="360" w:lineRule="auto"/>
        <w:ind w:left="1350" w:hanging="270"/>
        <w:rPr>
          <w:rFonts w:ascii="Arial" w:hAnsi="Arial" w:cs="Arial"/>
          <w:color w:val="000000"/>
          <w:sz w:val="22"/>
          <w:szCs w:val="22"/>
          <w:lang w:val="es-ES"/>
        </w:rPr>
      </w:pPr>
      <w:r w:rsidRPr="002F2DD8">
        <w:rPr>
          <w:rFonts w:ascii="Arial" w:hAnsi="Arial" w:cs="Arial"/>
          <w:color w:val="000000"/>
          <w:sz w:val="22"/>
          <w:szCs w:val="22"/>
          <w:lang w:val="es-ES"/>
        </w:rPr>
        <w:t>Analizar las experiencias de los modelos</w:t>
      </w:r>
      <w:r w:rsidR="005C6965" w:rsidRPr="002F2DD8">
        <w:rPr>
          <w:rFonts w:ascii="Arial" w:hAnsi="Arial" w:cs="Arial"/>
          <w:color w:val="000000"/>
          <w:sz w:val="22"/>
          <w:szCs w:val="22"/>
          <w:lang w:val="es-ES"/>
        </w:rPr>
        <w:t xml:space="preserve"> de </w:t>
      </w:r>
      <w:proofErr w:type="spellStart"/>
      <w:proofErr w:type="gramStart"/>
      <w:r w:rsidR="005C6965" w:rsidRPr="002F2DD8">
        <w:rPr>
          <w:rFonts w:ascii="Arial" w:hAnsi="Arial" w:cs="Arial"/>
          <w:color w:val="000000"/>
          <w:sz w:val="22"/>
          <w:szCs w:val="22"/>
          <w:lang w:val="es-ES"/>
        </w:rPr>
        <w:t>OTTs</w:t>
      </w:r>
      <w:proofErr w:type="spellEnd"/>
      <w:r w:rsidR="005C6965" w:rsidRPr="002F2DD8">
        <w:rPr>
          <w:rFonts w:ascii="Arial" w:hAnsi="Arial" w:cs="Arial"/>
          <w:color w:val="000000"/>
          <w:sz w:val="22"/>
          <w:szCs w:val="22"/>
          <w:lang w:val="es-ES"/>
        </w:rPr>
        <w:t xml:space="preserve"> </w:t>
      </w:r>
      <w:r w:rsidRPr="002F2DD8">
        <w:rPr>
          <w:rFonts w:ascii="Arial" w:hAnsi="Arial" w:cs="Arial"/>
          <w:color w:val="000000"/>
          <w:sz w:val="22"/>
          <w:szCs w:val="22"/>
          <w:lang w:val="es-ES"/>
        </w:rPr>
        <w:t xml:space="preserve"> utilizados</w:t>
      </w:r>
      <w:proofErr w:type="gramEnd"/>
      <w:r w:rsidRPr="002F2DD8">
        <w:rPr>
          <w:rFonts w:ascii="Arial" w:hAnsi="Arial" w:cs="Arial"/>
          <w:color w:val="000000"/>
          <w:sz w:val="22"/>
          <w:szCs w:val="22"/>
          <w:lang w:val="es-ES"/>
        </w:rPr>
        <w:t xml:space="preserve"> en otros países (Argentina, Chile, Mé</w:t>
      </w:r>
      <w:r w:rsidR="00780288" w:rsidRPr="002F2DD8">
        <w:rPr>
          <w:rFonts w:ascii="Arial" w:hAnsi="Arial" w:cs="Arial"/>
          <w:color w:val="000000"/>
          <w:sz w:val="22"/>
          <w:szCs w:val="22"/>
          <w:lang w:val="es-ES"/>
        </w:rPr>
        <w:t>x</w:t>
      </w:r>
      <w:r w:rsidRPr="002F2DD8">
        <w:rPr>
          <w:rFonts w:ascii="Arial" w:hAnsi="Arial" w:cs="Arial"/>
          <w:color w:val="000000"/>
          <w:sz w:val="22"/>
          <w:szCs w:val="22"/>
          <w:lang w:val="es-ES"/>
        </w:rPr>
        <w:t>ico, España, entre otros).</w:t>
      </w:r>
    </w:p>
    <w:p w14:paraId="3E9B8413" w14:textId="77777777" w:rsidR="0077484B" w:rsidRPr="002F2DD8" w:rsidRDefault="0077484B" w:rsidP="002F2DD8">
      <w:pPr>
        <w:pStyle w:val="Prrafodelista"/>
        <w:spacing w:after="200" w:line="360" w:lineRule="auto"/>
        <w:rPr>
          <w:rFonts w:ascii="Arial" w:hAnsi="Arial" w:cs="Arial"/>
          <w:color w:val="000000"/>
          <w:sz w:val="22"/>
          <w:szCs w:val="22"/>
          <w:lang w:val="es-ES"/>
        </w:rPr>
      </w:pPr>
    </w:p>
    <w:p w14:paraId="6F26AEAE" w14:textId="77777777" w:rsidR="0077484B" w:rsidRPr="002F2DD8" w:rsidRDefault="0077484B" w:rsidP="002F2DD8">
      <w:pPr>
        <w:pStyle w:val="Prrafodelista"/>
        <w:numPr>
          <w:ilvl w:val="1"/>
          <w:numId w:val="1"/>
        </w:numPr>
        <w:spacing w:after="200" w:line="360" w:lineRule="auto"/>
        <w:ind w:left="1068"/>
        <w:rPr>
          <w:rFonts w:ascii="Arial" w:hAnsi="Arial" w:cs="Arial"/>
          <w:b/>
          <w:color w:val="000000"/>
          <w:sz w:val="22"/>
          <w:szCs w:val="22"/>
          <w:lang w:val="es-ES"/>
        </w:rPr>
      </w:pPr>
      <w:r w:rsidRPr="002F2DD8">
        <w:rPr>
          <w:rFonts w:ascii="Arial" w:hAnsi="Arial" w:cs="Arial"/>
          <w:b/>
          <w:color w:val="000000"/>
          <w:sz w:val="22"/>
          <w:szCs w:val="22"/>
          <w:u w:val="single"/>
          <w:lang w:val="es-ES"/>
        </w:rPr>
        <w:t>Visitas de Campo</w:t>
      </w:r>
      <w:r w:rsidRPr="002F2DD8">
        <w:rPr>
          <w:rFonts w:ascii="Arial" w:hAnsi="Arial" w:cs="Arial"/>
          <w:b/>
          <w:color w:val="000000"/>
          <w:sz w:val="22"/>
          <w:szCs w:val="22"/>
          <w:lang w:val="es-ES"/>
        </w:rPr>
        <w:t xml:space="preserve">: </w:t>
      </w:r>
    </w:p>
    <w:p w14:paraId="3A084AFD" w14:textId="77777777" w:rsidR="0077484B" w:rsidRPr="002F2DD8" w:rsidRDefault="0077484B" w:rsidP="002F2DD8">
      <w:pPr>
        <w:pStyle w:val="Prrafodelista"/>
        <w:numPr>
          <w:ilvl w:val="0"/>
          <w:numId w:val="2"/>
        </w:numPr>
        <w:spacing w:after="200" w:line="360" w:lineRule="auto"/>
        <w:ind w:left="1338" w:hanging="270"/>
        <w:rPr>
          <w:rFonts w:ascii="Arial" w:hAnsi="Arial" w:cs="Arial"/>
          <w:color w:val="000000"/>
          <w:sz w:val="22"/>
          <w:szCs w:val="22"/>
          <w:lang w:val="es-ES"/>
        </w:rPr>
      </w:pPr>
      <w:r w:rsidRPr="002F2DD8">
        <w:rPr>
          <w:rFonts w:ascii="Arial" w:hAnsi="Arial" w:cs="Arial"/>
          <w:color w:val="000000"/>
          <w:sz w:val="22"/>
          <w:szCs w:val="22"/>
          <w:lang w:val="es-ES"/>
        </w:rPr>
        <w:t xml:space="preserve">Entrevistas personales o telefónicas con los distintos agentes involucrados. </w:t>
      </w:r>
    </w:p>
    <w:p w14:paraId="6B319676" w14:textId="77777777" w:rsidR="008A5CC6" w:rsidRPr="002F2DD8" w:rsidRDefault="008A5CC6" w:rsidP="002F2DD8">
      <w:pPr>
        <w:pStyle w:val="Prrafodelista"/>
        <w:numPr>
          <w:ilvl w:val="0"/>
          <w:numId w:val="2"/>
        </w:numPr>
        <w:spacing w:after="200" w:line="360" w:lineRule="auto"/>
        <w:ind w:left="1350" w:hanging="270"/>
        <w:rPr>
          <w:rFonts w:ascii="Arial" w:hAnsi="Arial" w:cs="Arial"/>
          <w:color w:val="000000"/>
          <w:sz w:val="22"/>
          <w:szCs w:val="22"/>
          <w:lang w:val="es-ES"/>
        </w:rPr>
      </w:pPr>
      <w:r w:rsidRPr="002F2DD8">
        <w:rPr>
          <w:rFonts w:ascii="Arial" w:hAnsi="Arial" w:cs="Arial"/>
          <w:sz w:val="22"/>
          <w:szCs w:val="22"/>
          <w:lang w:val="es-AR"/>
        </w:rPr>
        <w:lastRenderedPageBreak/>
        <w:t>Oficinas de Transferencia Tecnológica (OTT</w:t>
      </w:r>
      <w:proofErr w:type="gramStart"/>
      <w:r w:rsidRPr="002F2DD8">
        <w:rPr>
          <w:rFonts w:ascii="Arial" w:hAnsi="Arial" w:cs="Arial"/>
          <w:sz w:val="22"/>
          <w:szCs w:val="22"/>
          <w:lang w:val="es-AR"/>
        </w:rPr>
        <w:t xml:space="preserve">) </w:t>
      </w:r>
      <w:r w:rsidRPr="002F2DD8">
        <w:rPr>
          <w:rFonts w:ascii="Arial" w:hAnsi="Arial" w:cs="Arial"/>
          <w:color w:val="000000"/>
          <w:sz w:val="22"/>
          <w:szCs w:val="22"/>
          <w:lang w:val="es-ES"/>
        </w:rPr>
        <w:t xml:space="preserve"> Universidad</w:t>
      </w:r>
      <w:proofErr w:type="gramEnd"/>
      <w:r w:rsidRPr="002F2DD8">
        <w:rPr>
          <w:rFonts w:ascii="Arial" w:hAnsi="Arial" w:cs="Arial"/>
          <w:color w:val="000000"/>
          <w:sz w:val="22"/>
          <w:szCs w:val="22"/>
          <w:lang w:val="es-ES"/>
        </w:rPr>
        <w:t xml:space="preserve"> Cayetano Heredia, Pontifica Universidad Católica del Perú, Universidad Nacional mayor de San Marcos y la  Universidad  Nacional Agraria La Molina.</w:t>
      </w:r>
    </w:p>
    <w:p w14:paraId="686622CD" w14:textId="77777777" w:rsidR="008A5CC6" w:rsidRPr="002F2DD8" w:rsidRDefault="008A5CC6" w:rsidP="002F2DD8">
      <w:pPr>
        <w:pStyle w:val="Prrafodelista"/>
        <w:numPr>
          <w:ilvl w:val="0"/>
          <w:numId w:val="2"/>
        </w:numPr>
        <w:spacing w:after="200" w:line="360" w:lineRule="auto"/>
        <w:ind w:left="1350" w:hanging="270"/>
        <w:rPr>
          <w:rFonts w:ascii="Arial" w:hAnsi="Arial" w:cs="Arial"/>
          <w:color w:val="000000"/>
          <w:sz w:val="22"/>
          <w:szCs w:val="22"/>
          <w:lang w:val="es-ES"/>
        </w:rPr>
      </w:pPr>
      <w:r w:rsidRPr="002F2DD8">
        <w:rPr>
          <w:rFonts w:ascii="Arial" w:hAnsi="Arial" w:cs="Arial"/>
          <w:color w:val="000000"/>
          <w:sz w:val="22"/>
          <w:szCs w:val="22"/>
          <w:lang w:val="es-PE"/>
        </w:rPr>
        <w:t xml:space="preserve">Instituto de Innovación Agraria </w:t>
      </w:r>
      <w:r w:rsidRPr="002F2DD8">
        <w:rPr>
          <w:rFonts w:ascii="Arial" w:hAnsi="Arial" w:cs="Arial"/>
          <w:color w:val="000000"/>
          <w:sz w:val="22"/>
          <w:szCs w:val="22"/>
          <w:lang w:val="es-ES"/>
        </w:rPr>
        <w:t xml:space="preserve">- INIA, Instituto Nacional de Investigación en comunicaciones y Telecomunicaciones - INICTEL-UNI, Instituto Tecnológico de la Producción (ITP), así como de los Centros de Innovación y </w:t>
      </w:r>
      <w:proofErr w:type="gramStart"/>
      <w:r w:rsidRPr="002F2DD8">
        <w:rPr>
          <w:rFonts w:ascii="Arial" w:hAnsi="Arial" w:cs="Arial"/>
          <w:color w:val="000000"/>
          <w:sz w:val="22"/>
          <w:szCs w:val="22"/>
          <w:lang w:val="es-ES"/>
        </w:rPr>
        <w:t>Transferencia  Tecnológica</w:t>
      </w:r>
      <w:proofErr w:type="gramEnd"/>
      <w:r w:rsidRPr="002F2DD8">
        <w:rPr>
          <w:rFonts w:ascii="Arial" w:hAnsi="Arial" w:cs="Arial"/>
          <w:color w:val="000000"/>
          <w:sz w:val="22"/>
          <w:szCs w:val="22"/>
          <w:lang w:val="es-ES"/>
        </w:rPr>
        <w:t xml:space="preserve">, CITES-PERÚ y la </w:t>
      </w:r>
      <w:r w:rsidRPr="002F2DD8">
        <w:rPr>
          <w:rFonts w:ascii="Arial" w:hAnsi="Arial" w:cs="Arial"/>
          <w:color w:val="000000"/>
          <w:sz w:val="22"/>
          <w:szCs w:val="22"/>
          <w:lang w:val="es-PE"/>
        </w:rPr>
        <w:t xml:space="preserve">Red </w:t>
      </w:r>
      <w:proofErr w:type="spellStart"/>
      <w:r w:rsidRPr="002F2DD8">
        <w:rPr>
          <w:rFonts w:ascii="Arial" w:hAnsi="Arial" w:cs="Arial"/>
          <w:color w:val="000000"/>
          <w:sz w:val="22"/>
          <w:szCs w:val="22"/>
          <w:lang w:val="es-PE"/>
        </w:rPr>
        <w:t>IDi</w:t>
      </w:r>
      <w:proofErr w:type="spellEnd"/>
      <w:r w:rsidRPr="002F2DD8">
        <w:rPr>
          <w:rFonts w:ascii="Arial" w:hAnsi="Arial" w:cs="Arial"/>
          <w:color w:val="000000"/>
          <w:sz w:val="22"/>
          <w:szCs w:val="22"/>
          <w:lang w:val="es-PE"/>
        </w:rPr>
        <w:t xml:space="preserve"> (Red de investigación, desarrollo e innovación).</w:t>
      </w:r>
    </w:p>
    <w:p w14:paraId="31520F14" w14:textId="77777777" w:rsidR="008A5CC6" w:rsidRPr="002F2DD8" w:rsidRDefault="008A5CC6" w:rsidP="002F2DD8">
      <w:pPr>
        <w:pStyle w:val="Prrafodelista"/>
        <w:numPr>
          <w:ilvl w:val="0"/>
          <w:numId w:val="2"/>
        </w:numPr>
        <w:spacing w:after="200" w:line="360" w:lineRule="auto"/>
        <w:ind w:left="1338" w:hanging="270"/>
        <w:rPr>
          <w:rFonts w:ascii="Arial" w:hAnsi="Arial" w:cs="Arial"/>
          <w:color w:val="000000"/>
          <w:sz w:val="22"/>
          <w:szCs w:val="22"/>
          <w:lang w:val="es-ES"/>
        </w:rPr>
      </w:pPr>
      <w:r w:rsidRPr="002F2DD8">
        <w:rPr>
          <w:rFonts w:ascii="Arial" w:hAnsi="Arial" w:cs="Arial"/>
          <w:color w:val="000000"/>
          <w:sz w:val="22"/>
          <w:szCs w:val="22"/>
          <w:lang w:val="es-ES"/>
        </w:rPr>
        <w:t>4 universidades del interior del país con mayor producción científica</w:t>
      </w:r>
    </w:p>
    <w:p w14:paraId="34194EBA" w14:textId="77777777" w:rsidR="0077484B" w:rsidRPr="002F2DD8" w:rsidRDefault="0077484B" w:rsidP="002F2DD8">
      <w:pPr>
        <w:pStyle w:val="Prrafodelista"/>
        <w:spacing w:after="200" w:line="360" w:lineRule="auto"/>
        <w:ind w:left="348"/>
        <w:rPr>
          <w:rFonts w:ascii="Arial" w:hAnsi="Arial" w:cs="Arial"/>
          <w:color w:val="000000"/>
          <w:sz w:val="22"/>
          <w:szCs w:val="22"/>
          <w:lang w:val="es-ES"/>
        </w:rPr>
      </w:pPr>
    </w:p>
    <w:p w14:paraId="49EE14F4" w14:textId="77777777" w:rsidR="0077484B" w:rsidRPr="002F2DD8" w:rsidRDefault="0077484B" w:rsidP="002F2DD8">
      <w:pPr>
        <w:pStyle w:val="Prrafodelista"/>
        <w:numPr>
          <w:ilvl w:val="1"/>
          <w:numId w:val="1"/>
        </w:numPr>
        <w:spacing w:after="200" w:line="360" w:lineRule="auto"/>
        <w:ind w:left="1068"/>
        <w:rPr>
          <w:rFonts w:ascii="Arial" w:hAnsi="Arial" w:cs="Arial"/>
          <w:b/>
          <w:color w:val="000000"/>
          <w:sz w:val="22"/>
          <w:szCs w:val="22"/>
          <w:u w:val="single"/>
          <w:lang w:val="es-ES"/>
        </w:rPr>
      </w:pPr>
      <w:r w:rsidRPr="002F2DD8">
        <w:rPr>
          <w:rFonts w:ascii="Arial" w:hAnsi="Arial" w:cs="Arial"/>
          <w:b/>
          <w:color w:val="000000"/>
          <w:sz w:val="22"/>
          <w:szCs w:val="22"/>
          <w:u w:val="single"/>
          <w:lang w:val="es-ES"/>
        </w:rPr>
        <w:t>Otros</w:t>
      </w:r>
      <w:r w:rsidR="00EF24B0" w:rsidRPr="002F2DD8">
        <w:rPr>
          <w:rFonts w:ascii="Arial" w:hAnsi="Arial" w:cs="Arial"/>
          <w:b/>
          <w:color w:val="000000"/>
          <w:sz w:val="22"/>
          <w:szCs w:val="22"/>
          <w:u w:val="single"/>
          <w:lang w:val="es-ES"/>
        </w:rPr>
        <w:t>,</w:t>
      </w:r>
      <w:r w:rsidR="00EF24B0" w:rsidRPr="002F2DD8">
        <w:rPr>
          <w:rFonts w:ascii="Arial" w:hAnsi="Arial" w:cs="Arial"/>
          <w:color w:val="000000"/>
          <w:sz w:val="22"/>
          <w:szCs w:val="22"/>
          <w:lang w:val="es-ES"/>
        </w:rPr>
        <w:t xml:space="preserve"> </w:t>
      </w:r>
      <w:r w:rsidRPr="002F2DD8">
        <w:rPr>
          <w:rFonts w:ascii="Arial" w:hAnsi="Arial" w:cs="Arial"/>
          <w:color w:val="000000"/>
          <w:sz w:val="22"/>
          <w:szCs w:val="22"/>
          <w:lang w:val="es-ES"/>
        </w:rPr>
        <w:t>que la empresa consultora determine.</w:t>
      </w:r>
    </w:p>
    <w:p w14:paraId="4DA6B73F" w14:textId="77777777" w:rsidR="0077484B" w:rsidRPr="002F2DD8" w:rsidRDefault="0077484B" w:rsidP="002F2DD8">
      <w:pPr>
        <w:pStyle w:val="Prrafodelista"/>
        <w:spacing w:after="200" w:line="360" w:lineRule="auto"/>
        <w:rPr>
          <w:rFonts w:ascii="Arial" w:hAnsi="Arial" w:cs="Arial"/>
          <w:color w:val="000000"/>
          <w:sz w:val="22"/>
          <w:szCs w:val="22"/>
          <w:lang w:val="es-ES"/>
        </w:rPr>
      </w:pPr>
    </w:p>
    <w:p w14:paraId="0FD0C73A" w14:textId="77777777" w:rsidR="0077484B" w:rsidRPr="002F2DD8" w:rsidRDefault="0077484B" w:rsidP="002F2DD8">
      <w:pPr>
        <w:pStyle w:val="Prrafodelista"/>
        <w:numPr>
          <w:ilvl w:val="0"/>
          <w:numId w:val="1"/>
        </w:numPr>
        <w:spacing w:line="360" w:lineRule="auto"/>
        <w:rPr>
          <w:rFonts w:ascii="Arial" w:hAnsi="Arial" w:cs="Arial"/>
          <w:b/>
          <w:smallCaps/>
          <w:sz w:val="22"/>
          <w:szCs w:val="22"/>
          <w:lang w:val="es-PE" w:eastAsia="es-PE"/>
        </w:rPr>
      </w:pPr>
      <w:r w:rsidRPr="002F2DD8">
        <w:rPr>
          <w:rFonts w:ascii="Arial" w:hAnsi="Arial" w:cs="Arial"/>
          <w:b/>
          <w:smallCaps/>
          <w:sz w:val="22"/>
          <w:szCs w:val="22"/>
          <w:lang w:val="es-PE" w:eastAsia="es-PE"/>
        </w:rPr>
        <w:t xml:space="preserve">Productos </w:t>
      </w:r>
    </w:p>
    <w:p w14:paraId="5777BFA8" w14:textId="77777777" w:rsidR="0077484B" w:rsidRPr="002F2DD8" w:rsidRDefault="0077484B" w:rsidP="002F2DD8">
      <w:pPr>
        <w:pStyle w:val="Prrafodelista"/>
        <w:spacing w:after="200" w:line="360" w:lineRule="auto"/>
        <w:ind w:left="360"/>
        <w:rPr>
          <w:rFonts w:ascii="Arial" w:hAnsi="Arial" w:cs="Arial"/>
          <w:color w:val="000000"/>
          <w:sz w:val="22"/>
          <w:szCs w:val="22"/>
          <w:lang w:val="es-ES"/>
        </w:rPr>
      </w:pPr>
      <w:r w:rsidRPr="002F2DD8">
        <w:rPr>
          <w:rFonts w:ascii="Arial" w:hAnsi="Arial" w:cs="Arial"/>
          <w:color w:val="000000"/>
          <w:sz w:val="22"/>
          <w:szCs w:val="22"/>
          <w:lang w:val="es-ES"/>
        </w:rPr>
        <w:t>Los productos a ser entregados por la consultoría son:</w:t>
      </w:r>
    </w:p>
    <w:p w14:paraId="280063BA" w14:textId="77777777" w:rsidR="0077484B" w:rsidRPr="002F2DD8" w:rsidRDefault="0077484B" w:rsidP="002F2DD8">
      <w:pPr>
        <w:pStyle w:val="Prrafodelista"/>
        <w:spacing w:after="200" w:line="360" w:lineRule="auto"/>
        <w:ind w:left="0"/>
        <w:rPr>
          <w:rFonts w:ascii="Arial" w:hAnsi="Arial" w:cs="Arial"/>
          <w:color w:val="000000"/>
          <w:sz w:val="22"/>
          <w:szCs w:val="22"/>
          <w:lang w:val="es-ES"/>
        </w:rPr>
      </w:pPr>
    </w:p>
    <w:p w14:paraId="4D84951E" w14:textId="77777777" w:rsidR="00D6492E" w:rsidRDefault="00D6492E" w:rsidP="002F2DD8">
      <w:pPr>
        <w:pStyle w:val="Prrafodelista"/>
        <w:spacing w:after="200" w:line="360" w:lineRule="auto"/>
        <w:ind w:left="360"/>
        <w:rPr>
          <w:rFonts w:ascii="Arial" w:hAnsi="Arial" w:cs="Arial"/>
          <w:b/>
          <w:color w:val="000000"/>
          <w:sz w:val="22"/>
          <w:szCs w:val="22"/>
          <w:u w:val="single"/>
          <w:lang w:val="es-ES"/>
        </w:rPr>
      </w:pPr>
      <w:r w:rsidRPr="00D6492E">
        <w:rPr>
          <w:rFonts w:ascii="Arial" w:hAnsi="Arial" w:cs="Arial"/>
          <w:b/>
          <w:color w:val="000000"/>
          <w:sz w:val="22"/>
          <w:szCs w:val="22"/>
          <w:u w:val="single"/>
          <w:lang w:val="es-ES"/>
        </w:rPr>
        <w:t xml:space="preserve">Plan de trabajo </w:t>
      </w:r>
    </w:p>
    <w:p w14:paraId="201F86A2" w14:textId="77777777" w:rsidR="00D6492E" w:rsidRPr="00D6492E" w:rsidRDefault="00D6492E" w:rsidP="002F2DD8">
      <w:pPr>
        <w:pStyle w:val="Prrafodelista"/>
        <w:spacing w:after="200" w:line="360" w:lineRule="auto"/>
        <w:ind w:left="360"/>
        <w:rPr>
          <w:rFonts w:ascii="Arial" w:hAnsi="Arial" w:cs="Arial"/>
          <w:b/>
          <w:color w:val="000000"/>
          <w:sz w:val="22"/>
          <w:szCs w:val="22"/>
          <w:u w:val="single"/>
          <w:lang w:val="es-ES"/>
        </w:rPr>
      </w:pPr>
    </w:p>
    <w:p w14:paraId="4B79C3E2" w14:textId="747CA58D" w:rsidR="00D6492E" w:rsidRPr="00D6492E" w:rsidRDefault="00D6492E" w:rsidP="002F2DD8">
      <w:pPr>
        <w:pStyle w:val="Prrafodelista"/>
        <w:spacing w:after="200" w:line="360" w:lineRule="auto"/>
        <w:ind w:left="360"/>
        <w:rPr>
          <w:rFonts w:ascii="Arial" w:hAnsi="Arial" w:cs="Arial"/>
          <w:color w:val="000000"/>
          <w:sz w:val="22"/>
          <w:szCs w:val="22"/>
          <w:lang w:val="es-ES"/>
        </w:rPr>
      </w:pPr>
      <w:r w:rsidRPr="00D6492E">
        <w:rPr>
          <w:rFonts w:ascii="Arial" w:hAnsi="Arial" w:cs="Arial"/>
          <w:color w:val="000000"/>
          <w:sz w:val="22"/>
          <w:szCs w:val="22"/>
          <w:lang w:val="es-ES"/>
        </w:rPr>
        <w:t>Plan de trabajo que contenga las estrategias para lograr el objetivo de la consultoría, este deberá incluir la descripción detallada del propósito, la naturaleza, la metodología, los procesos, los protocolos y las herramientas para la recolección estandarizada de información (encuestas, entrevistas, cuestionarios, entre otros), así como la propuesta de la metodología para el levantamiento de información</w:t>
      </w:r>
      <w:r>
        <w:rPr>
          <w:rFonts w:ascii="Arial" w:hAnsi="Arial" w:cs="Arial"/>
          <w:color w:val="000000"/>
          <w:sz w:val="22"/>
          <w:szCs w:val="22"/>
          <w:lang w:val="es-ES"/>
        </w:rPr>
        <w:t>.</w:t>
      </w:r>
    </w:p>
    <w:p w14:paraId="0CF8FB57" w14:textId="77777777" w:rsidR="00D6492E" w:rsidRDefault="00D6492E" w:rsidP="002F2DD8">
      <w:pPr>
        <w:pStyle w:val="Prrafodelista"/>
        <w:spacing w:after="200" w:line="360" w:lineRule="auto"/>
        <w:ind w:left="360"/>
        <w:rPr>
          <w:rFonts w:ascii="Arial" w:hAnsi="Arial" w:cs="Arial"/>
          <w:b/>
          <w:color w:val="000000"/>
          <w:sz w:val="22"/>
          <w:szCs w:val="22"/>
          <w:u w:val="single"/>
          <w:lang w:val="es-ES"/>
        </w:rPr>
      </w:pPr>
    </w:p>
    <w:p w14:paraId="31FEAC4A" w14:textId="77777777" w:rsidR="00BB7078" w:rsidRPr="002F2DD8" w:rsidRDefault="0077484B" w:rsidP="002F2DD8">
      <w:pPr>
        <w:pStyle w:val="Prrafodelista"/>
        <w:spacing w:after="200" w:line="360" w:lineRule="auto"/>
        <w:ind w:left="360"/>
        <w:rPr>
          <w:rFonts w:ascii="Arial" w:hAnsi="Arial" w:cs="Arial"/>
          <w:color w:val="000000"/>
          <w:sz w:val="22"/>
          <w:szCs w:val="22"/>
          <w:lang w:val="es-ES"/>
        </w:rPr>
      </w:pPr>
      <w:r w:rsidRPr="002F2DD8">
        <w:rPr>
          <w:rFonts w:ascii="Arial" w:hAnsi="Arial" w:cs="Arial"/>
          <w:b/>
          <w:color w:val="000000"/>
          <w:sz w:val="22"/>
          <w:szCs w:val="22"/>
          <w:u w:val="single"/>
          <w:lang w:val="es-ES"/>
        </w:rPr>
        <w:t>Primer Informe</w:t>
      </w:r>
      <w:r w:rsidRPr="002F2DD8">
        <w:rPr>
          <w:rFonts w:ascii="Arial" w:hAnsi="Arial" w:cs="Arial"/>
          <w:color w:val="000000"/>
          <w:sz w:val="22"/>
          <w:szCs w:val="22"/>
          <w:lang w:val="es-ES"/>
        </w:rPr>
        <w:t xml:space="preserve">, </w:t>
      </w:r>
    </w:p>
    <w:p w14:paraId="122464EF" w14:textId="77777777" w:rsidR="00BB7078" w:rsidRPr="002F2DD8" w:rsidRDefault="00BB7078" w:rsidP="002F2DD8">
      <w:pPr>
        <w:pStyle w:val="Prrafodelista"/>
        <w:spacing w:after="200" w:line="360" w:lineRule="auto"/>
        <w:ind w:left="360"/>
        <w:rPr>
          <w:rFonts w:ascii="Arial" w:hAnsi="Arial" w:cs="Arial"/>
          <w:color w:val="000000"/>
          <w:sz w:val="22"/>
          <w:szCs w:val="22"/>
          <w:lang w:val="es-ES"/>
        </w:rPr>
      </w:pPr>
    </w:p>
    <w:p w14:paraId="1940D455" w14:textId="4F09E193" w:rsidR="00BB7078" w:rsidRPr="002F2DD8" w:rsidRDefault="00780288" w:rsidP="002F2DD8">
      <w:pPr>
        <w:pStyle w:val="Prrafodelista"/>
        <w:numPr>
          <w:ilvl w:val="0"/>
          <w:numId w:val="7"/>
        </w:numPr>
        <w:spacing w:after="200" w:line="360" w:lineRule="auto"/>
        <w:rPr>
          <w:rFonts w:ascii="Arial" w:hAnsi="Arial" w:cs="Arial"/>
          <w:color w:val="000000"/>
          <w:sz w:val="22"/>
          <w:szCs w:val="22"/>
          <w:lang w:val="es-ES"/>
        </w:rPr>
      </w:pPr>
      <w:r w:rsidRPr="002F2DD8">
        <w:rPr>
          <w:rFonts w:ascii="Arial" w:hAnsi="Arial" w:cs="Arial"/>
          <w:color w:val="000000"/>
          <w:sz w:val="22"/>
          <w:szCs w:val="22"/>
          <w:lang w:val="es-ES"/>
        </w:rPr>
        <w:t xml:space="preserve">Elaborar un diagnóstico sobre los modelos de </w:t>
      </w:r>
      <w:r w:rsidR="00E6509D" w:rsidRPr="002F2DD8">
        <w:rPr>
          <w:rFonts w:ascii="Arial" w:hAnsi="Arial" w:cs="Arial"/>
          <w:sz w:val="22"/>
          <w:szCs w:val="22"/>
          <w:lang w:val="es-AR"/>
        </w:rPr>
        <w:t>Oficina de Transferencia Tecnológica (OTT</w:t>
      </w:r>
      <w:proofErr w:type="gramStart"/>
      <w:r w:rsidR="00E6509D" w:rsidRPr="002F2DD8">
        <w:rPr>
          <w:rFonts w:ascii="Arial" w:hAnsi="Arial" w:cs="Arial"/>
          <w:sz w:val="22"/>
          <w:szCs w:val="22"/>
          <w:lang w:val="es-AR"/>
        </w:rPr>
        <w:t xml:space="preserve">) </w:t>
      </w:r>
      <w:r w:rsidRPr="002F2DD8">
        <w:rPr>
          <w:rFonts w:ascii="Arial" w:hAnsi="Arial" w:cs="Arial"/>
          <w:color w:val="000000"/>
          <w:sz w:val="22"/>
          <w:szCs w:val="22"/>
          <w:lang w:val="es-ES"/>
        </w:rPr>
        <w:t xml:space="preserve"> que</w:t>
      </w:r>
      <w:proofErr w:type="gramEnd"/>
      <w:r w:rsidRPr="002F2DD8">
        <w:rPr>
          <w:rFonts w:ascii="Arial" w:hAnsi="Arial" w:cs="Arial"/>
          <w:color w:val="000000"/>
          <w:sz w:val="22"/>
          <w:szCs w:val="22"/>
          <w:lang w:val="es-ES"/>
        </w:rPr>
        <w:t xml:space="preserve"> se </w:t>
      </w:r>
      <w:r w:rsidR="005C6965" w:rsidRPr="002F2DD8">
        <w:rPr>
          <w:rFonts w:ascii="Arial" w:hAnsi="Arial" w:cs="Arial"/>
          <w:color w:val="000000"/>
          <w:sz w:val="22"/>
          <w:szCs w:val="22"/>
          <w:lang w:val="es-ES"/>
        </w:rPr>
        <w:t xml:space="preserve">han </w:t>
      </w:r>
      <w:r w:rsidRPr="002F2DD8">
        <w:rPr>
          <w:rFonts w:ascii="Arial" w:hAnsi="Arial" w:cs="Arial"/>
          <w:color w:val="000000"/>
          <w:sz w:val="22"/>
          <w:szCs w:val="22"/>
          <w:lang w:val="es-ES"/>
        </w:rPr>
        <w:t>desarrolla</w:t>
      </w:r>
      <w:r w:rsidR="005C6965" w:rsidRPr="002F2DD8">
        <w:rPr>
          <w:rFonts w:ascii="Arial" w:hAnsi="Arial" w:cs="Arial"/>
          <w:color w:val="000000"/>
          <w:sz w:val="22"/>
          <w:szCs w:val="22"/>
          <w:lang w:val="es-ES"/>
        </w:rPr>
        <w:t>do</w:t>
      </w:r>
      <w:r w:rsidRPr="002F2DD8">
        <w:rPr>
          <w:rFonts w:ascii="Arial" w:hAnsi="Arial" w:cs="Arial"/>
          <w:color w:val="000000"/>
          <w:sz w:val="22"/>
          <w:szCs w:val="22"/>
          <w:lang w:val="es-ES"/>
        </w:rPr>
        <w:t xml:space="preserve"> en el país, identificando</w:t>
      </w:r>
      <w:r w:rsidR="008A5CC6" w:rsidRPr="002F2DD8">
        <w:rPr>
          <w:rFonts w:ascii="Arial" w:hAnsi="Arial" w:cs="Arial"/>
          <w:color w:val="000000"/>
          <w:sz w:val="22"/>
          <w:szCs w:val="22"/>
          <w:lang w:val="es-ES"/>
        </w:rPr>
        <w:t>:</w:t>
      </w:r>
      <w:r w:rsidR="00E6509D" w:rsidRPr="002F2DD8">
        <w:rPr>
          <w:rFonts w:ascii="Arial" w:hAnsi="Arial" w:cs="Arial"/>
          <w:color w:val="000000"/>
          <w:sz w:val="22"/>
          <w:szCs w:val="22"/>
          <w:lang w:val="es-ES"/>
        </w:rPr>
        <w:t xml:space="preserve"> </w:t>
      </w:r>
      <w:r w:rsidRPr="002F2DD8">
        <w:rPr>
          <w:rFonts w:ascii="Arial" w:hAnsi="Arial" w:cs="Arial"/>
          <w:color w:val="000000"/>
          <w:sz w:val="22"/>
          <w:szCs w:val="22"/>
          <w:lang w:val="es-ES"/>
        </w:rPr>
        <w:t xml:space="preserve">estructuras, </w:t>
      </w:r>
      <w:r w:rsidR="00E6509D" w:rsidRPr="002F2DD8">
        <w:rPr>
          <w:rFonts w:ascii="Arial" w:hAnsi="Arial" w:cs="Arial"/>
          <w:color w:val="000000"/>
          <w:sz w:val="22"/>
          <w:szCs w:val="22"/>
          <w:lang w:val="es-ES"/>
        </w:rPr>
        <w:t>personal</w:t>
      </w:r>
      <w:r w:rsidRPr="002F2DD8">
        <w:rPr>
          <w:rFonts w:ascii="Arial" w:hAnsi="Arial" w:cs="Arial"/>
          <w:color w:val="000000"/>
          <w:sz w:val="22"/>
          <w:szCs w:val="22"/>
          <w:lang w:val="es-ES"/>
        </w:rPr>
        <w:t xml:space="preserve">, procesos, prácticas, estrategias, normatividad </w:t>
      </w:r>
      <w:r w:rsidR="008A5CC6" w:rsidRPr="002F2DD8">
        <w:rPr>
          <w:rFonts w:ascii="Arial" w:hAnsi="Arial" w:cs="Arial"/>
          <w:color w:val="000000"/>
          <w:sz w:val="22"/>
          <w:szCs w:val="22"/>
          <w:lang w:val="es-ES"/>
        </w:rPr>
        <w:t>legal</w:t>
      </w:r>
      <w:r w:rsidR="00D962FB">
        <w:rPr>
          <w:rFonts w:ascii="Arial" w:hAnsi="Arial" w:cs="Arial"/>
          <w:color w:val="000000"/>
          <w:sz w:val="22"/>
          <w:szCs w:val="22"/>
          <w:lang w:val="es-ES"/>
        </w:rPr>
        <w:t>, fuentes de financiamiento</w:t>
      </w:r>
      <w:r w:rsidR="008A5CC6" w:rsidRPr="002F2DD8">
        <w:rPr>
          <w:rFonts w:ascii="Arial" w:hAnsi="Arial" w:cs="Arial"/>
          <w:color w:val="000000"/>
          <w:sz w:val="22"/>
          <w:szCs w:val="22"/>
          <w:lang w:val="es-ES"/>
        </w:rPr>
        <w:t xml:space="preserve">. Además identificar factores limitantes </w:t>
      </w:r>
      <w:r w:rsidRPr="002F2DD8">
        <w:rPr>
          <w:rFonts w:ascii="Arial" w:hAnsi="Arial" w:cs="Arial"/>
          <w:color w:val="000000"/>
          <w:sz w:val="22"/>
          <w:szCs w:val="22"/>
          <w:lang w:val="es-ES"/>
        </w:rPr>
        <w:t>y o</w:t>
      </w:r>
      <w:r w:rsidR="00BB7078" w:rsidRPr="002F2DD8">
        <w:rPr>
          <w:rFonts w:ascii="Arial" w:hAnsi="Arial" w:cs="Arial"/>
          <w:color w:val="000000"/>
          <w:sz w:val="22"/>
          <w:szCs w:val="22"/>
          <w:lang w:val="es-ES"/>
        </w:rPr>
        <w:t xml:space="preserve">tros motivos que obstaculizan </w:t>
      </w:r>
      <w:r w:rsidR="00E6509D" w:rsidRPr="002F2DD8">
        <w:rPr>
          <w:rFonts w:ascii="Arial" w:hAnsi="Arial" w:cs="Arial"/>
          <w:color w:val="000000"/>
          <w:sz w:val="22"/>
          <w:szCs w:val="22"/>
          <w:lang w:val="es-ES"/>
        </w:rPr>
        <w:t xml:space="preserve">sus labores </w:t>
      </w:r>
      <w:r w:rsidR="00BB7078" w:rsidRPr="002F2DD8">
        <w:rPr>
          <w:rFonts w:ascii="Arial" w:hAnsi="Arial" w:cs="Arial"/>
          <w:color w:val="000000"/>
          <w:sz w:val="22"/>
          <w:szCs w:val="22"/>
          <w:lang w:val="es-ES"/>
        </w:rPr>
        <w:t>el proceso de transferencia.</w:t>
      </w:r>
    </w:p>
    <w:p w14:paraId="671E7A7F" w14:textId="77777777" w:rsidR="00BB7078" w:rsidRPr="002F2DD8" w:rsidRDefault="00BB7078" w:rsidP="002F2DD8">
      <w:pPr>
        <w:pStyle w:val="Prrafodelista"/>
        <w:numPr>
          <w:ilvl w:val="0"/>
          <w:numId w:val="7"/>
        </w:numPr>
        <w:spacing w:after="200" w:line="360" w:lineRule="auto"/>
        <w:rPr>
          <w:rFonts w:ascii="Arial" w:hAnsi="Arial" w:cs="Arial"/>
          <w:color w:val="000000"/>
          <w:sz w:val="22"/>
          <w:szCs w:val="22"/>
          <w:lang w:val="es-ES"/>
        </w:rPr>
      </w:pPr>
      <w:r w:rsidRPr="002F2DD8">
        <w:rPr>
          <w:rFonts w:ascii="Arial" w:hAnsi="Arial" w:cs="Arial"/>
          <w:color w:val="000000"/>
          <w:sz w:val="22"/>
          <w:szCs w:val="22"/>
          <w:lang w:val="es-ES"/>
        </w:rPr>
        <w:t xml:space="preserve">Analizar y revisar las experiencias internacionales sobre </w:t>
      </w:r>
      <w:r w:rsidR="00E6509D" w:rsidRPr="002F2DD8">
        <w:rPr>
          <w:rFonts w:ascii="Arial" w:hAnsi="Arial" w:cs="Arial"/>
          <w:sz w:val="22"/>
          <w:szCs w:val="22"/>
          <w:lang w:val="es-AR"/>
        </w:rPr>
        <w:t>Oficinas de Transferencia Tecnológica</w:t>
      </w:r>
      <w:r w:rsidRPr="002F2DD8">
        <w:rPr>
          <w:rFonts w:ascii="Arial" w:hAnsi="Arial" w:cs="Arial"/>
          <w:color w:val="000000"/>
          <w:sz w:val="22"/>
          <w:szCs w:val="22"/>
          <w:lang w:val="es-ES"/>
        </w:rPr>
        <w:t xml:space="preserve"> (estructura, programas, redes, normas legales, financiamiento,</w:t>
      </w:r>
      <w:r w:rsidR="004A569A" w:rsidRPr="002F2DD8">
        <w:rPr>
          <w:rFonts w:ascii="Arial" w:hAnsi="Arial" w:cs="Arial"/>
          <w:color w:val="000000"/>
          <w:sz w:val="22"/>
          <w:szCs w:val="22"/>
          <w:lang w:val="es-ES"/>
        </w:rPr>
        <w:t xml:space="preserve"> sostenibilidad, </w:t>
      </w:r>
      <w:r w:rsidRPr="002F2DD8">
        <w:rPr>
          <w:rFonts w:ascii="Arial" w:hAnsi="Arial" w:cs="Arial"/>
          <w:color w:val="000000"/>
          <w:sz w:val="22"/>
          <w:szCs w:val="22"/>
          <w:lang w:val="es-ES"/>
        </w:rPr>
        <w:t xml:space="preserve">etc.), para identificar los factores de éxito que sirvan como marco de </w:t>
      </w:r>
      <w:r w:rsidRPr="002F2DD8">
        <w:rPr>
          <w:rFonts w:ascii="Arial" w:hAnsi="Arial" w:cs="Arial"/>
          <w:color w:val="000000"/>
          <w:sz w:val="22"/>
          <w:szCs w:val="22"/>
          <w:lang w:val="es-ES"/>
        </w:rPr>
        <w:lastRenderedPageBreak/>
        <w:t xml:space="preserve">referencia al determinar la estrategia para la implementación de modelos de </w:t>
      </w:r>
      <w:r w:rsidR="005C6965" w:rsidRPr="002F2DD8">
        <w:rPr>
          <w:rFonts w:ascii="Arial" w:hAnsi="Arial" w:cs="Arial"/>
          <w:sz w:val="22"/>
          <w:szCs w:val="22"/>
          <w:lang w:val="es-AR"/>
        </w:rPr>
        <w:t>Oficinas de Transferencia Tecnológica</w:t>
      </w:r>
      <w:r w:rsidR="005C6965" w:rsidRPr="002F2DD8">
        <w:rPr>
          <w:rFonts w:ascii="Arial" w:hAnsi="Arial" w:cs="Arial"/>
          <w:color w:val="000000"/>
          <w:sz w:val="22"/>
          <w:szCs w:val="22"/>
          <w:lang w:val="es-ES"/>
        </w:rPr>
        <w:t xml:space="preserve"> </w:t>
      </w:r>
      <w:r w:rsidRPr="002F2DD8">
        <w:rPr>
          <w:rFonts w:ascii="Arial" w:hAnsi="Arial" w:cs="Arial"/>
          <w:color w:val="000000"/>
          <w:sz w:val="22"/>
          <w:szCs w:val="22"/>
          <w:lang w:val="es-ES"/>
        </w:rPr>
        <w:t>sostenible</w:t>
      </w:r>
      <w:r w:rsidR="005C6965" w:rsidRPr="002F2DD8">
        <w:rPr>
          <w:rFonts w:ascii="Arial" w:hAnsi="Arial" w:cs="Arial"/>
          <w:color w:val="000000"/>
          <w:sz w:val="22"/>
          <w:szCs w:val="22"/>
          <w:lang w:val="es-ES"/>
        </w:rPr>
        <w:t>s</w:t>
      </w:r>
      <w:r w:rsidRPr="002F2DD8">
        <w:rPr>
          <w:rFonts w:ascii="Arial" w:hAnsi="Arial" w:cs="Arial"/>
          <w:color w:val="000000"/>
          <w:sz w:val="22"/>
          <w:szCs w:val="22"/>
          <w:lang w:val="es-ES"/>
        </w:rPr>
        <w:t xml:space="preserve"> en el Perú. </w:t>
      </w:r>
    </w:p>
    <w:p w14:paraId="174E4E21" w14:textId="77777777" w:rsidR="00780288" w:rsidRPr="002F2DD8" w:rsidRDefault="00780288" w:rsidP="002F2DD8">
      <w:pPr>
        <w:pStyle w:val="Prrafodelista"/>
        <w:spacing w:after="200" w:line="360" w:lineRule="auto"/>
        <w:ind w:left="360"/>
        <w:rPr>
          <w:rFonts w:ascii="Arial" w:hAnsi="Arial" w:cs="Arial"/>
          <w:color w:val="000000"/>
          <w:sz w:val="22"/>
          <w:szCs w:val="22"/>
          <w:lang w:val="es-ES"/>
        </w:rPr>
      </w:pPr>
    </w:p>
    <w:p w14:paraId="3218025C" w14:textId="77777777" w:rsidR="00BB7078" w:rsidRPr="002F2DD8" w:rsidRDefault="0077484B" w:rsidP="002F2DD8">
      <w:pPr>
        <w:pStyle w:val="Prrafodelista"/>
        <w:spacing w:after="200" w:line="360" w:lineRule="auto"/>
        <w:ind w:left="0"/>
        <w:rPr>
          <w:rFonts w:ascii="Arial" w:hAnsi="Arial" w:cs="Arial"/>
          <w:b/>
          <w:color w:val="000000"/>
          <w:sz w:val="22"/>
          <w:szCs w:val="22"/>
          <w:u w:val="single"/>
          <w:lang w:val="es-ES"/>
        </w:rPr>
      </w:pPr>
      <w:r w:rsidRPr="002F2DD8">
        <w:rPr>
          <w:rFonts w:ascii="Arial" w:hAnsi="Arial" w:cs="Arial"/>
          <w:b/>
          <w:color w:val="000000"/>
          <w:sz w:val="22"/>
          <w:szCs w:val="22"/>
          <w:u w:val="single"/>
          <w:lang w:val="es-ES"/>
        </w:rPr>
        <w:t>Segundo Informe</w:t>
      </w:r>
    </w:p>
    <w:p w14:paraId="5E1F4A01" w14:textId="77777777" w:rsidR="00BB7078" w:rsidRPr="002F2DD8" w:rsidRDefault="00BB7078" w:rsidP="002F2DD8">
      <w:pPr>
        <w:pStyle w:val="Prrafodelista"/>
        <w:spacing w:after="200" w:line="360" w:lineRule="auto"/>
        <w:ind w:left="0"/>
        <w:rPr>
          <w:rFonts w:ascii="Arial" w:hAnsi="Arial" w:cs="Arial"/>
          <w:color w:val="000000"/>
          <w:sz w:val="22"/>
          <w:szCs w:val="22"/>
          <w:lang w:val="es-ES"/>
        </w:rPr>
      </w:pPr>
    </w:p>
    <w:p w14:paraId="7166E63F" w14:textId="77777777" w:rsidR="00BB7078" w:rsidRPr="002F2DD8" w:rsidRDefault="00BB7078" w:rsidP="002F2DD8">
      <w:pPr>
        <w:pStyle w:val="Prrafodelista"/>
        <w:numPr>
          <w:ilvl w:val="0"/>
          <w:numId w:val="8"/>
        </w:numPr>
        <w:spacing w:after="200" w:line="360" w:lineRule="auto"/>
        <w:rPr>
          <w:rFonts w:ascii="Arial" w:hAnsi="Arial" w:cs="Arial"/>
          <w:color w:val="000000"/>
          <w:sz w:val="22"/>
          <w:szCs w:val="22"/>
          <w:lang w:val="es-ES"/>
        </w:rPr>
      </w:pPr>
      <w:r w:rsidRPr="002F2DD8">
        <w:rPr>
          <w:rFonts w:ascii="Arial" w:hAnsi="Arial" w:cs="Arial"/>
          <w:color w:val="000000"/>
          <w:sz w:val="22"/>
          <w:szCs w:val="22"/>
          <w:lang w:val="es-ES"/>
        </w:rPr>
        <w:t xml:space="preserve">Preparar una propuesta de modelos de </w:t>
      </w:r>
      <w:r w:rsidR="005C6965" w:rsidRPr="002F2DD8">
        <w:rPr>
          <w:rFonts w:ascii="Arial" w:hAnsi="Arial" w:cs="Arial"/>
          <w:sz w:val="22"/>
          <w:szCs w:val="22"/>
          <w:lang w:val="es-AR"/>
        </w:rPr>
        <w:t xml:space="preserve">Oficina de Transferencia </w:t>
      </w:r>
      <w:proofErr w:type="gramStart"/>
      <w:r w:rsidR="005C6965" w:rsidRPr="002F2DD8">
        <w:rPr>
          <w:rFonts w:ascii="Arial" w:hAnsi="Arial" w:cs="Arial"/>
          <w:sz w:val="22"/>
          <w:szCs w:val="22"/>
          <w:lang w:val="es-AR"/>
        </w:rPr>
        <w:t xml:space="preserve">Tecnológica </w:t>
      </w:r>
      <w:r w:rsidRPr="002F2DD8">
        <w:rPr>
          <w:rFonts w:ascii="Arial" w:hAnsi="Arial" w:cs="Arial"/>
          <w:color w:val="000000"/>
          <w:sz w:val="22"/>
          <w:szCs w:val="22"/>
          <w:lang w:val="es-ES"/>
        </w:rPr>
        <w:t xml:space="preserve"> viable</w:t>
      </w:r>
      <w:r w:rsidR="005C6965" w:rsidRPr="002F2DD8">
        <w:rPr>
          <w:rFonts w:ascii="Arial" w:hAnsi="Arial" w:cs="Arial"/>
          <w:color w:val="000000"/>
          <w:sz w:val="22"/>
          <w:szCs w:val="22"/>
          <w:lang w:val="es-ES"/>
        </w:rPr>
        <w:t>s</w:t>
      </w:r>
      <w:proofErr w:type="gramEnd"/>
      <w:r w:rsidRPr="002F2DD8">
        <w:rPr>
          <w:rFonts w:ascii="Arial" w:hAnsi="Arial" w:cs="Arial"/>
          <w:color w:val="000000"/>
          <w:sz w:val="22"/>
          <w:szCs w:val="22"/>
          <w:lang w:val="es-ES"/>
        </w:rPr>
        <w:t xml:space="preserve"> para el país, considerando alternativas de modelos por sectores, áreas productivas,  universidades asociadas (Tipo Red </w:t>
      </w:r>
      <w:proofErr w:type="spellStart"/>
      <w:r w:rsidRPr="002F2DD8">
        <w:rPr>
          <w:rFonts w:ascii="Arial" w:hAnsi="Arial" w:cs="Arial"/>
          <w:color w:val="000000"/>
          <w:sz w:val="22"/>
          <w:szCs w:val="22"/>
          <w:lang w:val="es-ES"/>
        </w:rPr>
        <w:t>IDi</w:t>
      </w:r>
      <w:proofErr w:type="spellEnd"/>
      <w:r w:rsidRPr="002F2DD8">
        <w:rPr>
          <w:rFonts w:ascii="Arial" w:hAnsi="Arial" w:cs="Arial"/>
          <w:color w:val="000000"/>
          <w:sz w:val="22"/>
          <w:szCs w:val="22"/>
          <w:lang w:val="es-ES"/>
        </w:rPr>
        <w:t xml:space="preserve">), así como sustentando las condiciones de viabilidad y sostenibilidad.  </w:t>
      </w:r>
    </w:p>
    <w:p w14:paraId="139BEF95" w14:textId="77777777" w:rsidR="0077484B" w:rsidRPr="002F2DD8" w:rsidRDefault="0077484B" w:rsidP="002F2DD8">
      <w:pPr>
        <w:pStyle w:val="Prrafodelista"/>
        <w:spacing w:after="200" w:line="360" w:lineRule="auto"/>
        <w:rPr>
          <w:rFonts w:ascii="Arial" w:hAnsi="Arial" w:cs="Arial"/>
          <w:color w:val="000000"/>
          <w:sz w:val="22"/>
          <w:szCs w:val="22"/>
          <w:lang w:val="es-ES"/>
        </w:rPr>
      </w:pPr>
      <w:r w:rsidRPr="002F2DD8">
        <w:rPr>
          <w:rFonts w:ascii="Arial" w:hAnsi="Arial" w:cs="Arial"/>
          <w:b/>
          <w:color w:val="000000"/>
          <w:sz w:val="22"/>
          <w:szCs w:val="22"/>
          <w:lang w:val="es-ES"/>
        </w:rPr>
        <w:t xml:space="preserve">   </w:t>
      </w:r>
    </w:p>
    <w:p w14:paraId="6042E1CC" w14:textId="77777777" w:rsidR="0077484B" w:rsidRPr="002F2DD8" w:rsidRDefault="0077484B" w:rsidP="002F2DD8">
      <w:pPr>
        <w:pStyle w:val="Prrafodelista"/>
        <w:spacing w:after="200" w:line="360" w:lineRule="auto"/>
        <w:ind w:left="0"/>
        <w:rPr>
          <w:rFonts w:ascii="Arial" w:hAnsi="Arial" w:cs="Arial"/>
          <w:b/>
          <w:color w:val="000000"/>
          <w:sz w:val="22"/>
          <w:szCs w:val="22"/>
          <w:u w:val="single"/>
          <w:lang w:val="es-ES"/>
        </w:rPr>
      </w:pPr>
      <w:r w:rsidRPr="002F2DD8">
        <w:rPr>
          <w:rFonts w:ascii="Arial" w:hAnsi="Arial" w:cs="Arial"/>
          <w:b/>
          <w:color w:val="000000"/>
          <w:sz w:val="22"/>
          <w:szCs w:val="22"/>
          <w:u w:val="single"/>
          <w:lang w:val="es-ES"/>
        </w:rPr>
        <w:t>Inform</w:t>
      </w:r>
      <w:r w:rsidR="00BB7078" w:rsidRPr="002F2DD8">
        <w:rPr>
          <w:rFonts w:ascii="Arial" w:hAnsi="Arial" w:cs="Arial"/>
          <w:b/>
          <w:color w:val="000000"/>
          <w:sz w:val="22"/>
          <w:szCs w:val="22"/>
          <w:u w:val="single"/>
          <w:lang w:val="es-ES"/>
        </w:rPr>
        <w:t>e final</w:t>
      </w:r>
    </w:p>
    <w:p w14:paraId="00DD3192" w14:textId="77777777" w:rsidR="0077484B" w:rsidRPr="002F2DD8" w:rsidRDefault="0077484B" w:rsidP="002F2DD8">
      <w:pPr>
        <w:pStyle w:val="Prrafodelista"/>
        <w:spacing w:line="360" w:lineRule="auto"/>
        <w:rPr>
          <w:rFonts w:ascii="Arial" w:hAnsi="Arial" w:cs="Arial"/>
          <w:color w:val="000000"/>
          <w:sz w:val="22"/>
          <w:szCs w:val="22"/>
          <w:lang w:val="es-ES"/>
        </w:rPr>
      </w:pPr>
    </w:p>
    <w:p w14:paraId="40C35514" w14:textId="77777777" w:rsidR="00BB7078" w:rsidRPr="002F2DD8" w:rsidRDefault="00BB7078" w:rsidP="002F2DD8">
      <w:pPr>
        <w:pStyle w:val="Prrafodelista"/>
        <w:numPr>
          <w:ilvl w:val="0"/>
          <w:numId w:val="9"/>
        </w:numPr>
        <w:spacing w:after="200" w:line="360" w:lineRule="auto"/>
        <w:rPr>
          <w:rFonts w:ascii="Arial" w:hAnsi="Arial" w:cs="Arial"/>
          <w:color w:val="000000"/>
          <w:sz w:val="22"/>
          <w:szCs w:val="22"/>
          <w:lang w:val="es-ES"/>
        </w:rPr>
      </w:pPr>
      <w:r w:rsidRPr="002F2DD8">
        <w:rPr>
          <w:rFonts w:ascii="Arial" w:hAnsi="Arial" w:cs="Arial"/>
          <w:color w:val="000000"/>
          <w:sz w:val="22"/>
          <w:szCs w:val="22"/>
          <w:lang w:val="es-ES"/>
        </w:rPr>
        <w:t xml:space="preserve">Presentar la propuesta final sobre modelos </w:t>
      </w:r>
      <w:r w:rsidR="004A569A" w:rsidRPr="002F2DD8">
        <w:rPr>
          <w:rFonts w:ascii="Arial" w:hAnsi="Arial" w:cs="Arial"/>
          <w:sz w:val="22"/>
          <w:szCs w:val="22"/>
          <w:lang w:val="es-AR"/>
        </w:rPr>
        <w:t>de Oficinas de Transferencia Tecnológica (OTT)</w:t>
      </w:r>
      <w:r w:rsidRPr="002F2DD8">
        <w:rPr>
          <w:rFonts w:ascii="Arial" w:hAnsi="Arial" w:cs="Arial"/>
          <w:color w:val="000000"/>
          <w:sz w:val="22"/>
          <w:szCs w:val="22"/>
          <w:lang w:val="es-ES"/>
        </w:rPr>
        <w:t xml:space="preserve"> viables y sostenibles y el Plan de Trabajo para la implementación de </w:t>
      </w:r>
      <w:r w:rsidR="004A569A" w:rsidRPr="002F2DD8">
        <w:rPr>
          <w:rFonts w:ascii="Arial" w:hAnsi="Arial" w:cs="Arial"/>
          <w:color w:val="000000"/>
          <w:sz w:val="22"/>
          <w:szCs w:val="22"/>
          <w:lang w:val="es-ES"/>
        </w:rPr>
        <w:t xml:space="preserve">estos </w:t>
      </w:r>
      <w:r w:rsidRPr="002F2DD8">
        <w:rPr>
          <w:rFonts w:ascii="Arial" w:hAnsi="Arial" w:cs="Arial"/>
          <w:color w:val="000000"/>
          <w:sz w:val="22"/>
          <w:szCs w:val="22"/>
          <w:lang w:val="es-ES"/>
        </w:rPr>
        <w:t xml:space="preserve">modelos </w:t>
      </w:r>
      <w:proofErr w:type="gramStart"/>
      <w:r w:rsidRPr="002F2DD8">
        <w:rPr>
          <w:rFonts w:ascii="Arial" w:hAnsi="Arial" w:cs="Arial"/>
          <w:color w:val="000000"/>
          <w:sz w:val="22"/>
          <w:szCs w:val="22"/>
          <w:lang w:val="es-ES"/>
        </w:rPr>
        <w:t xml:space="preserve">de </w:t>
      </w:r>
      <w:r w:rsidR="004A569A" w:rsidRPr="002F2DD8">
        <w:rPr>
          <w:rFonts w:ascii="Arial" w:hAnsi="Arial" w:cs="Arial"/>
          <w:color w:val="000000"/>
          <w:sz w:val="22"/>
          <w:szCs w:val="22"/>
          <w:lang w:val="es-ES"/>
        </w:rPr>
        <w:t xml:space="preserve"> </w:t>
      </w:r>
      <w:proofErr w:type="spellStart"/>
      <w:r w:rsidR="004A569A" w:rsidRPr="002F2DD8">
        <w:rPr>
          <w:rFonts w:ascii="Arial" w:hAnsi="Arial" w:cs="Arial"/>
          <w:color w:val="000000"/>
          <w:sz w:val="22"/>
          <w:szCs w:val="22"/>
          <w:lang w:val="es-ES"/>
        </w:rPr>
        <w:t>OTTs</w:t>
      </w:r>
      <w:proofErr w:type="spellEnd"/>
      <w:proofErr w:type="gramEnd"/>
      <w:r w:rsidR="004A569A" w:rsidRPr="002F2DD8">
        <w:rPr>
          <w:rFonts w:ascii="Arial" w:hAnsi="Arial" w:cs="Arial"/>
          <w:color w:val="000000"/>
          <w:sz w:val="22"/>
          <w:szCs w:val="22"/>
          <w:lang w:val="es-ES"/>
        </w:rPr>
        <w:t xml:space="preserve"> </w:t>
      </w:r>
      <w:r w:rsidRPr="002F2DD8">
        <w:rPr>
          <w:rFonts w:ascii="Arial" w:hAnsi="Arial" w:cs="Arial"/>
          <w:color w:val="000000"/>
          <w:sz w:val="22"/>
          <w:szCs w:val="22"/>
          <w:lang w:val="es-ES"/>
        </w:rPr>
        <w:t xml:space="preserve">detallando los pasos a seguir, plazos, actores prioritarios, normatividad necesaria y financiamiento. </w:t>
      </w:r>
    </w:p>
    <w:p w14:paraId="20A3AC19" w14:textId="28D8536F" w:rsidR="00BB7078" w:rsidRPr="002F2DD8" w:rsidRDefault="008A5CC6" w:rsidP="002F2DD8">
      <w:pPr>
        <w:pStyle w:val="Prrafodelista"/>
        <w:numPr>
          <w:ilvl w:val="0"/>
          <w:numId w:val="9"/>
        </w:numPr>
        <w:spacing w:after="200" w:line="360" w:lineRule="auto"/>
        <w:rPr>
          <w:rFonts w:ascii="Arial" w:hAnsi="Arial" w:cs="Arial"/>
          <w:sz w:val="22"/>
          <w:szCs w:val="22"/>
        </w:rPr>
      </w:pPr>
      <w:r w:rsidRPr="002F2DD8">
        <w:rPr>
          <w:rFonts w:ascii="Arial" w:hAnsi="Arial" w:cs="Arial"/>
          <w:color w:val="000000"/>
          <w:sz w:val="22"/>
          <w:szCs w:val="22"/>
          <w:lang w:val="es-ES"/>
        </w:rPr>
        <w:t>I</w:t>
      </w:r>
      <w:proofErr w:type="spellStart"/>
      <w:r w:rsidR="0077484B" w:rsidRPr="002F2DD8">
        <w:rPr>
          <w:rFonts w:ascii="Arial" w:hAnsi="Arial" w:cs="Arial"/>
          <w:sz w:val="22"/>
          <w:szCs w:val="22"/>
        </w:rPr>
        <w:t>ncorpora</w:t>
      </w:r>
      <w:proofErr w:type="spellEnd"/>
      <w:r w:rsidR="0077484B" w:rsidRPr="002F2DD8">
        <w:rPr>
          <w:rFonts w:ascii="Arial" w:hAnsi="Arial" w:cs="Arial"/>
          <w:sz w:val="22"/>
          <w:szCs w:val="22"/>
        </w:rPr>
        <w:t xml:space="preserve"> los comentarios y sugerencias al </w:t>
      </w:r>
      <w:r w:rsidR="007A7856">
        <w:rPr>
          <w:rFonts w:ascii="Arial" w:hAnsi="Arial" w:cs="Arial"/>
          <w:sz w:val="22"/>
          <w:szCs w:val="22"/>
        </w:rPr>
        <w:t xml:space="preserve">primer y </w:t>
      </w:r>
      <w:r w:rsidR="0077484B" w:rsidRPr="002F2DD8">
        <w:rPr>
          <w:rFonts w:ascii="Arial" w:hAnsi="Arial" w:cs="Arial"/>
          <w:sz w:val="22"/>
          <w:szCs w:val="22"/>
        </w:rPr>
        <w:t>segundo informe entregado.</w:t>
      </w:r>
    </w:p>
    <w:p w14:paraId="420DF321" w14:textId="77777777" w:rsidR="0077484B" w:rsidRPr="002F2DD8" w:rsidRDefault="008A5CC6" w:rsidP="002F2DD8">
      <w:pPr>
        <w:pStyle w:val="Prrafodelista"/>
        <w:numPr>
          <w:ilvl w:val="0"/>
          <w:numId w:val="9"/>
        </w:numPr>
        <w:spacing w:after="200" w:line="360" w:lineRule="auto"/>
        <w:rPr>
          <w:rFonts w:ascii="Arial" w:hAnsi="Arial" w:cs="Arial"/>
          <w:sz w:val="22"/>
          <w:szCs w:val="22"/>
        </w:rPr>
      </w:pPr>
      <w:r w:rsidRPr="002F2DD8">
        <w:rPr>
          <w:rFonts w:ascii="Arial" w:hAnsi="Arial" w:cs="Arial"/>
          <w:color w:val="000000"/>
          <w:sz w:val="22"/>
          <w:szCs w:val="22"/>
        </w:rPr>
        <w:t xml:space="preserve"> E</w:t>
      </w:r>
      <w:r w:rsidR="00BB7078" w:rsidRPr="002F2DD8">
        <w:rPr>
          <w:rFonts w:ascii="Arial" w:hAnsi="Arial" w:cs="Arial"/>
          <w:sz w:val="22"/>
          <w:szCs w:val="22"/>
        </w:rPr>
        <w:t xml:space="preserve">xposición de los resultados de la consultoría a los representantes del </w:t>
      </w:r>
      <w:proofErr w:type="spellStart"/>
      <w:r w:rsidR="00BB7078" w:rsidRPr="002F2DD8">
        <w:rPr>
          <w:rFonts w:ascii="Arial" w:hAnsi="Arial" w:cs="Arial"/>
          <w:sz w:val="22"/>
          <w:szCs w:val="22"/>
        </w:rPr>
        <w:t>FINCyT</w:t>
      </w:r>
      <w:proofErr w:type="spellEnd"/>
      <w:r w:rsidR="00BB7078" w:rsidRPr="002F2DD8">
        <w:rPr>
          <w:rFonts w:ascii="Arial" w:hAnsi="Arial" w:cs="Arial"/>
          <w:sz w:val="22"/>
          <w:szCs w:val="22"/>
        </w:rPr>
        <w:t xml:space="preserve"> y  CONCYTEC</w:t>
      </w:r>
    </w:p>
    <w:p w14:paraId="2C350DBC" w14:textId="77777777" w:rsidR="00BB7078" w:rsidRPr="002F2DD8" w:rsidRDefault="00BB7078" w:rsidP="002F2DD8">
      <w:pPr>
        <w:pStyle w:val="Prrafodelista"/>
        <w:spacing w:after="200" w:line="360" w:lineRule="auto"/>
        <w:ind w:left="0"/>
        <w:rPr>
          <w:rFonts w:ascii="Arial" w:hAnsi="Arial" w:cs="Arial"/>
          <w:smallCaps/>
          <w:color w:val="000000"/>
          <w:sz w:val="22"/>
          <w:szCs w:val="22"/>
          <w:lang w:val="es-ES"/>
        </w:rPr>
      </w:pPr>
    </w:p>
    <w:p w14:paraId="0A5CA97C" w14:textId="77777777" w:rsidR="00BB7078" w:rsidRPr="002F2DD8" w:rsidRDefault="00BB7078" w:rsidP="002F2DD8">
      <w:pPr>
        <w:pStyle w:val="Prrafodelista"/>
        <w:spacing w:after="200" w:line="360" w:lineRule="auto"/>
        <w:ind w:left="0"/>
        <w:rPr>
          <w:rFonts w:ascii="Arial" w:hAnsi="Arial" w:cs="Arial"/>
          <w:color w:val="000000"/>
          <w:sz w:val="22"/>
          <w:szCs w:val="22"/>
          <w:lang w:val="es-ES"/>
        </w:rPr>
      </w:pPr>
    </w:p>
    <w:p w14:paraId="1FDEB8C4" w14:textId="77777777" w:rsidR="0077484B" w:rsidRPr="002F2DD8" w:rsidRDefault="0077484B" w:rsidP="002F2DD8">
      <w:pPr>
        <w:pStyle w:val="Prrafodelista"/>
        <w:numPr>
          <w:ilvl w:val="0"/>
          <w:numId w:val="1"/>
        </w:numPr>
        <w:spacing w:line="360" w:lineRule="auto"/>
        <w:rPr>
          <w:rFonts w:ascii="Arial" w:hAnsi="Arial" w:cs="Arial"/>
          <w:b/>
          <w:smallCaps/>
          <w:sz w:val="22"/>
          <w:szCs w:val="22"/>
          <w:lang w:val="es-PE" w:eastAsia="es-PE"/>
        </w:rPr>
      </w:pPr>
      <w:r w:rsidRPr="002F2DD8">
        <w:rPr>
          <w:rFonts w:ascii="Arial" w:hAnsi="Arial" w:cs="Arial"/>
          <w:b/>
          <w:smallCaps/>
          <w:sz w:val="22"/>
          <w:szCs w:val="22"/>
          <w:lang w:val="es-PE" w:eastAsia="es-PE"/>
        </w:rPr>
        <w:t>Características de la Consultoría</w:t>
      </w:r>
    </w:p>
    <w:p w14:paraId="3E62EBF4" w14:textId="77777777" w:rsidR="0077484B" w:rsidRPr="002F2DD8" w:rsidRDefault="0077484B" w:rsidP="002F2DD8">
      <w:pPr>
        <w:pStyle w:val="Prrafodelista"/>
        <w:spacing w:line="360" w:lineRule="auto"/>
        <w:rPr>
          <w:rFonts w:ascii="Arial" w:hAnsi="Arial" w:cs="Arial"/>
          <w:b/>
          <w:smallCaps/>
          <w:sz w:val="22"/>
          <w:szCs w:val="22"/>
          <w:lang w:val="es-PE" w:eastAsia="es-PE"/>
        </w:rPr>
      </w:pPr>
    </w:p>
    <w:p w14:paraId="7402C4AE" w14:textId="77777777" w:rsidR="0077484B" w:rsidRPr="002F2DD8" w:rsidRDefault="0077484B" w:rsidP="002F2DD8">
      <w:pPr>
        <w:pStyle w:val="Prrafodelista"/>
        <w:spacing w:after="200" w:line="360" w:lineRule="auto"/>
        <w:rPr>
          <w:rFonts w:ascii="Arial" w:hAnsi="Arial" w:cs="Arial"/>
          <w:color w:val="000000"/>
          <w:sz w:val="22"/>
          <w:szCs w:val="22"/>
          <w:lang w:val="es-ES"/>
        </w:rPr>
      </w:pPr>
      <w:r w:rsidRPr="002F2DD8">
        <w:rPr>
          <w:rFonts w:ascii="Arial" w:hAnsi="Arial" w:cs="Arial"/>
          <w:color w:val="000000"/>
          <w:sz w:val="22"/>
          <w:szCs w:val="22"/>
          <w:lang w:val="es-ES"/>
        </w:rPr>
        <w:t>La supervisión y seguimiento de las actividades de consultoría será realizada por</w:t>
      </w:r>
      <w:r w:rsidR="005B3D30" w:rsidRPr="002F2DD8">
        <w:rPr>
          <w:rFonts w:ascii="Arial" w:hAnsi="Arial" w:cs="Arial"/>
          <w:color w:val="000000"/>
          <w:sz w:val="22"/>
          <w:szCs w:val="22"/>
          <w:lang w:val="es-ES"/>
        </w:rPr>
        <w:t xml:space="preserve"> </w:t>
      </w:r>
      <w:r w:rsidR="00AE3E9D" w:rsidRPr="002F2DD8">
        <w:rPr>
          <w:rFonts w:ascii="Arial" w:hAnsi="Arial" w:cs="Arial"/>
          <w:color w:val="000000"/>
          <w:sz w:val="22"/>
          <w:szCs w:val="22"/>
          <w:lang w:val="es-ES"/>
        </w:rPr>
        <w:t xml:space="preserve">La Dirección de Investigación y Estudios </w:t>
      </w:r>
      <w:r w:rsidR="00630B09" w:rsidRPr="002F2DD8">
        <w:rPr>
          <w:rFonts w:ascii="Arial" w:hAnsi="Arial" w:cs="Arial"/>
          <w:color w:val="000000"/>
          <w:sz w:val="22"/>
          <w:szCs w:val="22"/>
          <w:lang w:val="es-ES"/>
        </w:rPr>
        <w:t xml:space="preserve">(DIE) </w:t>
      </w:r>
      <w:r w:rsidR="00AE3E9D" w:rsidRPr="002F2DD8">
        <w:rPr>
          <w:rFonts w:ascii="Arial" w:hAnsi="Arial" w:cs="Arial"/>
          <w:color w:val="000000"/>
          <w:sz w:val="22"/>
          <w:szCs w:val="22"/>
          <w:lang w:val="es-ES"/>
        </w:rPr>
        <w:t xml:space="preserve">del CONCYTEC </w:t>
      </w:r>
    </w:p>
    <w:p w14:paraId="29404DA2" w14:textId="77777777" w:rsidR="0077484B" w:rsidRPr="00023A84" w:rsidRDefault="0077484B" w:rsidP="002F2DD8">
      <w:pPr>
        <w:pStyle w:val="Prrafodelista"/>
        <w:spacing w:after="200" w:line="360" w:lineRule="auto"/>
        <w:ind w:left="1440"/>
        <w:rPr>
          <w:rFonts w:ascii="Arial" w:hAnsi="Arial" w:cs="Arial"/>
          <w:color w:val="000000"/>
          <w:sz w:val="22"/>
          <w:szCs w:val="22"/>
          <w:lang w:val="es-ES"/>
        </w:rPr>
      </w:pPr>
    </w:p>
    <w:p w14:paraId="2601C112" w14:textId="1533F1E8" w:rsidR="00E448F9" w:rsidRPr="00023A84" w:rsidRDefault="0077484B" w:rsidP="00023A84">
      <w:pPr>
        <w:pStyle w:val="Prrafodelista"/>
        <w:spacing w:after="200" w:line="360" w:lineRule="auto"/>
        <w:rPr>
          <w:rFonts w:ascii="Arial" w:hAnsi="Arial" w:cs="Arial"/>
          <w:color w:val="000000"/>
          <w:sz w:val="22"/>
          <w:szCs w:val="22"/>
          <w:lang w:val="es-ES"/>
        </w:rPr>
      </w:pPr>
      <w:r w:rsidRPr="00023A84">
        <w:rPr>
          <w:rFonts w:ascii="Arial" w:hAnsi="Arial" w:cs="Arial"/>
          <w:b/>
          <w:color w:val="000000"/>
          <w:sz w:val="22"/>
          <w:szCs w:val="22"/>
          <w:lang w:val="es-ES"/>
        </w:rPr>
        <w:t>Duración y tipo de consultoría</w:t>
      </w:r>
      <w:r w:rsidRPr="00023A84">
        <w:rPr>
          <w:rFonts w:ascii="Arial" w:hAnsi="Arial" w:cs="Arial"/>
          <w:color w:val="000000"/>
          <w:sz w:val="22"/>
          <w:szCs w:val="22"/>
          <w:lang w:val="es-ES"/>
        </w:rPr>
        <w:t>. La consultoría tendrá una du</w:t>
      </w:r>
      <w:r w:rsidR="00510CF9" w:rsidRPr="00023A84">
        <w:rPr>
          <w:rFonts w:ascii="Arial" w:hAnsi="Arial" w:cs="Arial"/>
          <w:color w:val="000000"/>
          <w:sz w:val="22"/>
          <w:szCs w:val="22"/>
          <w:lang w:val="es-ES"/>
        </w:rPr>
        <w:t xml:space="preserve">ración que no debe </w:t>
      </w:r>
      <w:r w:rsidR="00510CF9" w:rsidRPr="00D44044">
        <w:rPr>
          <w:rFonts w:ascii="Arial" w:hAnsi="Arial" w:cs="Arial"/>
          <w:color w:val="000000"/>
          <w:sz w:val="22"/>
          <w:szCs w:val="22"/>
          <w:lang w:val="es-ES"/>
        </w:rPr>
        <w:t xml:space="preserve">exceder los </w:t>
      </w:r>
      <w:r w:rsidR="00D962FB" w:rsidRPr="00D44044">
        <w:rPr>
          <w:rFonts w:ascii="Arial" w:hAnsi="Arial" w:cs="Arial"/>
          <w:color w:val="000000"/>
          <w:sz w:val="22"/>
          <w:szCs w:val="22"/>
          <w:lang w:val="es-ES"/>
        </w:rPr>
        <w:t>1</w:t>
      </w:r>
      <w:r w:rsidR="00D6492E" w:rsidRPr="00D44044">
        <w:rPr>
          <w:rFonts w:ascii="Arial" w:hAnsi="Arial" w:cs="Arial"/>
          <w:color w:val="000000"/>
          <w:sz w:val="22"/>
          <w:szCs w:val="22"/>
          <w:lang w:val="es-ES"/>
        </w:rPr>
        <w:t>20</w:t>
      </w:r>
      <w:r w:rsidR="003C0E4E" w:rsidRPr="00D44044">
        <w:rPr>
          <w:rFonts w:ascii="Arial" w:hAnsi="Arial" w:cs="Arial"/>
          <w:color w:val="000000"/>
          <w:sz w:val="22"/>
          <w:szCs w:val="22"/>
          <w:lang w:val="es-ES"/>
        </w:rPr>
        <w:t xml:space="preserve"> </w:t>
      </w:r>
      <w:r w:rsidRPr="00D44044">
        <w:rPr>
          <w:rFonts w:ascii="Arial" w:hAnsi="Arial" w:cs="Arial"/>
          <w:color w:val="000000"/>
          <w:sz w:val="22"/>
          <w:szCs w:val="22"/>
          <w:lang w:val="es-ES"/>
        </w:rPr>
        <w:t>días</w:t>
      </w:r>
      <w:r w:rsidR="003C0E4E" w:rsidRPr="00D44044">
        <w:rPr>
          <w:rFonts w:ascii="Arial" w:hAnsi="Arial" w:cs="Arial"/>
          <w:color w:val="000000"/>
          <w:sz w:val="22"/>
          <w:szCs w:val="22"/>
          <w:lang w:val="es-ES"/>
        </w:rPr>
        <w:t xml:space="preserve"> calendario</w:t>
      </w:r>
      <w:r w:rsidR="003C0E4E" w:rsidRPr="00023A84">
        <w:rPr>
          <w:rFonts w:ascii="Arial" w:hAnsi="Arial" w:cs="Arial"/>
          <w:color w:val="000000"/>
          <w:sz w:val="22"/>
          <w:szCs w:val="22"/>
          <w:lang w:val="es-ES"/>
        </w:rPr>
        <w:t>, contados a partir del día siguiente de la fecha de suscripción del contrato, el cual no incluye el tiempo de revisión por parte de la entidad, ni el tiempo para el levantamiento de observaciones por parte del Consultor.</w:t>
      </w:r>
      <w:r w:rsidRPr="00023A84">
        <w:rPr>
          <w:rFonts w:ascii="Arial" w:hAnsi="Arial" w:cs="Arial"/>
          <w:color w:val="000000"/>
          <w:sz w:val="22"/>
          <w:szCs w:val="22"/>
          <w:lang w:val="es-ES"/>
        </w:rPr>
        <w:t xml:space="preserve"> </w:t>
      </w:r>
      <w:r w:rsidR="00124CCE" w:rsidRPr="00023A84">
        <w:rPr>
          <w:rFonts w:ascii="Arial" w:eastAsia="Times" w:hAnsi="Arial" w:cs="Arial"/>
          <w:bCs/>
          <w:iCs/>
          <w:sz w:val="22"/>
          <w:szCs w:val="22"/>
          <w:lang w:val="es-PE" w:eastAsia="es-ES"/>
        </w:rPr>
        <w:t>El monto disponible para la realización del estudio alcanza a US$ 2</w:t>
      </w:r>
      <w:r w:rsidR="00D962FB" w:rsidRPr="00023A84">
        <w:rPr>
          <w:rFonts w:ascii="Arial" w:eastAsia="Times" w:hAnsi="Arial" w:cs="Arial"/>
          <w:bCs/>
          <w:iCs/>
          <w:sz w:val="22"/>
          <w:szCs w:val="22"/>
          <w:lang w:val="es-PE" w:eastAsia="es-ES"/>
        </w:rPr>
        <w:t>5</w:t>
      </w:r>
      <w:r w:rsidR="00124CCE" w:rsidRPr="00023A84">
        <w:rPr>
          <w:rFonts w:ascii="Arial" w:eastAsia="Times" w:hAnsi="Arial" w:cs="Arial"/>
          <w:bCs/>
          <w:iCs/>
          <w:sz w:val="22"/>
          <w:szCs w:val="22"/>
          <w:lang w:val="es-PE" w:eastAsia="es-ES"/>
        </w:rPr>
        <w:t>,000, el mismo que será financiado por el FINCYT</w:t>
      </w:r>
      <w:r w:rsidR="00023A84" w:rsidRPr="00023A84">
        <w:rPr>
          <w:rFonts w:ascii="Arial" w:eastAsia="Times" w:hAnsi="Arial" w:cs="Arial"/>
          <w:bCs/>
          <w:iCs/>
          <w:sz w:val="22"/>
          <w:szCs w:val="22"/>
          <w:lang w:val="es-PE" w:eastAsia="es-ES"/>
        </w:rPr>
        <w:t xml:space="preserve">. </w:t>
      </w:r>
      <w:r w:rsidR="00D44044">
        <w:rPr>
          <w:rFonts w:ascii="Arial" w:hAnsi="Arial" w:cs="Arial"/>
          <w:color w:val="000000"/>
          <w:sz w:val="22"/>
          <w:szCs w:val="22"/>
        </w:rPr>
        <w:t xml:space="preserve">Se </w:t>
      </w:r>
      <w:r w:rsidR="00E448F9" w:rsidRPr="00023A84">
        <w:rPr>
          <w:rFonts w:ascii="Arial" w:hAnsi="Arial" w:cs="Arial"/>
          <w:color w:val="000000"/>
          <w:sz w:val="22"/>
          <w:szCs w:val="22"/>
        </w:rPr>
        <w:t xml:space="preserve">presupuesta 100 días de esfuerzo del consultor. </w:t>
      </w:r>
    </w:p>
    <w:p w14:paraId="22EF1499" w14:textId="10263D13" w:rsidR="00124CCE" w:rsidRPr="00023A84" w:rsidRDefault="00124CCE" w:rsidP="002F2DD8">
      <w:pPr>
        <w:pStyle w:val="Prrafodelista"/>
        <w:spacing w:after="200" w:line="360" w:lineRule="auto"/>
        <w:rPr>
          <w:rFonts w:ascii="Arial" w:eastAsia="Times" w:hAnsi="Arial" w:cs="Arial"/>
          <w:bCs/>
          <w:iCs/>
          <w:sz w:val="22"/>
          <w:szCs w:val="22"/>
          <w:lang w:val="es-ES" w:eastAsia="es-ES"/>
        </w:rPr>
      </w:pPr>
    </w:p>
    <w:p w14:paraId="48F5F5C4" w14:textId="77777777" w:rsidR="0077484B" w:rsidRPr="00023A84" w:rsidRDefault="0077484B" w:rsidP="002F2DD8">
      <w:pPr>
        <w:pStyle w:val="Prrafodelista"/>
        <w:spacing w:line="360" w:lineRule="auto"/>
        <w:ind w:left="360"/>
        <w:rPr>
          <w:rFonts w:ascii="Arial" w:hAnsi="Arial" w:cs="Arial"/>
          <w:color w:val="000000"/>
          <w:sz w:val="22"/>
          <w:szCs w:val="22"/>
          <w:lang w:val="es-ES"/>
        </w:rPr>
      </w:pPr>
    </w:p>
    <w:p w14:paraId="1EE24549" w14:textId="77777777" w:rsidR="0077484B" w:rsidRPr="00023A84" w:rsidRDefault="0077484B" w:rsidP="002F2DD8">
      <w:pPr>
        <w:pStyle w:val="Prrafodelista"/>
        <w:spacing w:after="200" w:line="360" w:lineRule="auto"/>
        <w:rPr>
          <w:rFonts w:ascii="Arial" w:hAnsi="Arial" w:cs="Arial"/>
          <w:color w:val="000000"/>
          <w:sz w:val="22"/>
          <w:szCs w:val="22"/>
          <w:lang w:val="es-ES"/>
        </w:rPr>
      </w:pPr>
      <w:r w:rsidRPr="00023A84">
        <w:rPr>
          <w:rFonts w:ascii="Arial" w:hAnsi="Arial" w:cs="Arial"/>
          <w:b/>
          <w:color w:val="000000"/>
          <w:sz w:val="22"/>
          <w:szCs w:val="22"/>
          <w:lang w:val="es-ES"/>
        </w:rPr>
        <w:t>Pagos</w:t>
      </w:r>
      <w:r w:rsidRPr="00023A84">
        <w:rPr>
          <w:rFonts w:ascii="Arial" w:hAnsi="Arial" w:cs="Arial"/>
          <w:color w:val="000000"/>
          <w:sz w:val="22"/>
          <w:szCs w:val="22"/>
          <w:lang w:val="es-ES"/>
        </w:rPr>
        <w:t xml:space="preserve">. Los pagos de la consultoría se realizarán según el siguiente cronograma: </w:t>
      </w:r>
    </w:p>
    <w:p w14:paraId="6988B644" w14:textId="77777777" w:rsidR="0077484B" w:rsidRPr="00023A84" w:rsidRDefault="0077484B" w:rsidP="002F2DD8">
      <w:pPr>
        <w:pStyle w:val="Prrafodelista"/>
        <w:spacing w:line="360" w:lineRule="auto"/>
        <w:rPr>
          <w:rFonts w:ascii="Arial" w:hAnsi="Arial" w:cs="Arial"/>
          <w:color w:val="000000"/>
          <w:sz w:val="22"/>
          <w:szCs w:val="22"/>
          <w:lang w:val="es-ES"/>
        </w:rPr>
      </w:pPr>
    </w:p>
    <w:tbl>
      <w:tblPr>
        <w:tblW w:w="86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661"/>
        <w:gridCol w:w="2919"/>
      </w:tblGrid>
      <w:tr w:rsidR="0077484B" w:rsidRPr="002F2DD8" w14:paraId="41D0F93B" w14:textId="77777777" w:rsidTr="00F87023">
        <w:tc>
          <w:tcPr>
            <w:tcW w:w="3060" w:type="dxa"/>
            <w:shd w:val="clear" w:color="auto" w:fill="auto"/>
          </w:tcPr>
          <w:p w14:paraId="3CC54A1C" w14:textId="77777777" w:rsidR="0077484B" w:rsidRPr="002F2DD8" w:rsidRDefault="0077484B" w:rsidP="002F2DD8">
            <w:pPr>
              <w:pStyle w:val="Prrafodelista"/>
              <w:spacing w:line="360" w:lineRule="auto"/>
              <w:ind w:left="0"/>
              <w:rPr>
                <w:rFonts w:ascii="Arial" w:hAnsi="Arial" w:cs="Arial"/>
                <w:color w:val="000000"/>
                <w:sz w:val="22"/>
                <w:szCs w:val="22"/>
                <w:lang w:val="es-ES"/>
              </w:rPr>
            </w:pPr>
            <w:r w:rsidRPr="002F2DD8">
              <w:rPr>
                <w:rFonts w:ascii="Arial" w:hAnsi="Arial" w:cs="Arial"/>
                <w:color w:val="000000"/>
                <w:sz w:val="22"/>
                <w:szCs w:val="22"/>
                <w:lang w:val="es-ES"/>
              </w:rPr>
              <w:t xml:space="preserve">Pago </w:t>
            </w:r>
          </w:p>
        </w:tc>
        <w:tc>
          <w:tcPr>
            <w:tcW w:w="2661" w:type="dxa"/>
            <w:shd w:val="clear" w:color="auto" w:fill="auto"/>
          </w:tcPr>
          <w:p w14:paraId="77B8F43A" w14:textId="77777777" w:rsidR="0077484B" w:rsidRPr="002F2DD8" w:rsidRDefault="0077484B" w:rsidP="002F2DD8">
            <w:pPr>
              <w:pStyle w:val="Prrafodelista"/>
              <w:spacing w:line="360" w:lineRule="auto"/>
              <w:ind w:left="0"/>
              <w:rPr>
                <w:rFonts w:ascii="Arial" w:hAnsi="Arial" w:cs="Arial"/>
                <w:color w:val="000000"/>
                <w:sz w:val="22"/>
                <w:szCs w:val="22"/>
                <w:lang w:val="es-ES"/>
              </w:rPr>
            </w:pPr>
            <w:r w:rsidRPr="002F2DD8">
              <w:rPr>
                <w:rFonts w:ascii="Arial" w:hAnsi="Arial" w:cs="Arial"/>
                <w:color w:val="000000"/>
                <w:sz w:val="22"/>
                <w:szCs w:val="22"/>
                <w:lang w:val="es-ES"/>
              </w:rPr>
              <w:t xml:space="preserve">Producto </w:t>
            </w:r>
          </w:p>
        </w:tc>
        <w:tc>
          <w:tcPr>
            <w:tcW w:w="2919" w:type="dxa"/>
            <w:shd w:val="clear" w:color="auto" w:fill="auto"/>
          </w:tcPr>
          <w:p w14:paraId="0D7E5008" w14:textId="77777777" w:rsidR="0077484B" w:rsidRPr="002F2DD8" w:rsidRDefault="0077484B" w:rsidP="002F2DD8">
            <w:pPr>
              <w:pStyle w:val="Prrafodelista"/>
              <w:spacing w:line="360" w:lineRule="auto"/>
              <w:ind w:left="0"/>
              <w:rPr>
                <w:rFonts w:ascii="Arial" w:hAnsi="Arial" w:cs="Arial"/>
                <w:color w:val="000000"/>
                <w:sz w:val="22"/>
                <w:szCs w:val="22"/>
                <w:lang w:val="es-ES"/>
              </w:rPr>
            </w:pPr>
            <w:r w:rsidRPr="002F2DD8">
              <w:rPr>
                <w:rFonts w:ascii="Arial" w:hAnsi="Arial" w:cs="Arial"/>
                <w:color w:val="000000"/>
                <w:sz w:val="22"/>
                <w:szCs w:val="22"/>
                <w:lang w:val="es-ES"/>
              </w:rPr>
              <w:t xml:space="preserve">Plazo </w:t>
            </w:r>
          </w:p>
        </w:tc>
      </w:tr>
      <w:tr w:rsidR="00D6492E" w:rsidRPr="002F2DD8" w14:paraId="626054E9" w14:textId="77777777" w:rsidTr="00F87023">
        <w:trPr>
          <w:trHeight w:val="480"/>
        </w:trPr>
        <w:tc>
          <w:tcPr>
            <w:tcW w:w="3060" w:type="dxa"/>
            <w:shd w:val="clear" w:color="auto" w:fill="auto"/>
          </w:tcPr>
          <w:p w14:paraId="12ECA9BD" w14:textId="1A0E3997" w:rsidR="00D6492E" w:rsidRPr="002F2DD8" w:rsidRDefault="00D6492E" w:rsidP="00D6492E">
            <w:pPr>
              <w:pStyle w:val="Prrafodelista"/>
              <w:tabs>
                <w:tab w:val="left" w:pos="913"/>
              </w:tabs>
              <w:spacing w:line="360" w:lineRule="auto"/>
              <w:ind w:left="0"/>
              <w:rPr>
                <w:rFonts w:ascii="Arial" w:hAnsi="Arial" w:cs="Arial"/>
                <w:color w:val="000000"/>
                <w:sz w:val="22"/>
                <w:szCs w:val="22"/>
                <w:lang w:val="es-ES"/>
              </w:rPr>
            </w:pPr>
            <w:r>
              <w:rPr>
                <w:rFonts w:ascii="Arial" w:hAnsi="Arial" w:cs="Arial"/>
                <w:color w:val="000000"/>
                <w:sz w:val="22"/>
                <w:szCs w:val="22"/>
                <w:lang w:val="es-ES"/>
              </w:rPr>
              <w:t xml:space="preserve">15% </w:t>
            </w:r>
            <w:r w:rsidRPr="002F2DD8">
              <w:rPr>
                <w:rFonts w:ascii="Arial" w:hAnsi="Arial" w:cs="Arial"/>
                <w:color w:val="000000"/>
                <w:sz w:val="22"/>
                <w:szCs w:val="22"/>
                <w:lang w:val="es-PE"/>
              </w:rPr>
              <w:t xml:space="preserve">del monto del contrato, a la conformidad del </w:t>
            </w:r>
            <w:r>
              <w:rPr>
                <w:rFonts w:ascii="Arial" w:hAnsi="Arial" w:cs="Arial"/>
                <w:color w:val="000000"/>
                <w:sz w:val="22"/>
                <w:szCs w:val="22"/>
                <w:lang w:val="es-PE"/>
              </w:rPr>
              <w:t>plan de trabajo</w:t>
            </w:r>
          </w:p>
        </w:tc>
        <w:tc>
          <w:tcPr>
            <w:tcW w:w="2661" w:type="dxa"/>
            <w:shd w:val="clear" w:color="auto" w:fill="auto"/>
          </w:tcPr>
          <w:p w14:paraId="1C387DF2" w14:textId="22B955ED" w:rsidR="00D6492E" w:rsidRPr="002F2DD8" w:rsidRDefault="00D6492E" w:rsidP="002F2DD8">
            <w:pPr>
              <w:pStyle w:val="Prrafodelista"/>
              <w:spacing w:line="360" w:lineRule="auto"/>
              <w:ind w:left="0"/>
              <w:rPr>
                <w:rFonts w:ascii="Arial" w:hAnsi="Arial" w:cs="Arial"/>
                <w:color w:val="000000"/>
                <w:sz w:val="22"/>
                <w:szCs w:val="22"/>
                <w:lang w:val="es-ES"/>
              </w:rPr>
            </w:pPr>
            <w:r>
              <w:rPr>
                <w:rFonts w:ascii="Arial" w:hAnsi="Arial" w:cs="Arial"/>
                <w:color w:val="000000"/>
                <w:sz w:val="22"/>
                <w:szCs w:val="22"/>
                <w:lang w:val="es-PE"/>
              </w:rPr>
              <w:t>Plan de trabajo</w:t>
            </w:r>
          </w:p>
        </w:tc>
        <w:tc>
          <w:tcPr>
            <w:tcW w:w="2919" w:type="dxa"/>
            <w:shd w:val="clear" w:color="auto" w:fill="auto"/>
          </w:tcPr>
          <w:p w14:paraId="3E446EED" w14:textId="5CAD9AC7" w:rsidR="00D6492E" w:rsidRPr="002F2DD8" w:rsidRDefault="00D6492E" w:rsidP="00D6492E">
            <w:pPr>
              <w:pStyle w:val="Prrafodelista"/>
              <w:spacing w:line="360" w:lineRule="auto"/>
              <w:ind w:left="0"/>
              <w:rPr>
                <w:rFonts w:ascii="Arial" w:hAnsi="Arial" w:cs="Arial"/>
                <w:color w:val="000000"/>
                <w:sz w:val="22"/>
                <w:szCs w:val="22"/>
                <w:lang w:val="es-ES"/>
              </w:rPr>
            </w:pPr>
            <w:r w:rsidRPr="002F2DD8">
              <w:rPr>
                <w:rFonts w:ascii="Arial" w:hAnsi="Arial" w:cs="Arial"/>
                <w:color w:val="000000"/>
                <w:sz w:val="22"/>
                <w:szCs w:val="22"/>
                <w:lang w:val="es-ES"/>
              </w:rPr>
              <w:t xml:space="preserve">Máximo de </w:t>
            </w:r>
            <w:r>
              <w:rPr>
                <w:rFonts w:ascii="Arial" w:hAnsi="Arial" w:cs="Arial"/>
                <w:color w:val="000000"/>
                <w:sz w:val="22"/>
                <w:szCs w:val="22"/>
                <w:lang w:val="es-ES"/>
              </w:rPr>
              <w:t>15</w:t>
            </w:r>
            <w:r w:rsidRPr="002F2DD8">
              <w:rPr>
                <w:rFonts w:ascii="Arial" w:hAnsi="Arial" w:cs="Arial"/>
                <w:color w:val="000000"/>
                <w:sz w:val="22"/>
                <w:szCs w:val="22"/>
                <w:lang w:val="es-ES"/>
              </w:rPr>
              <w:t xml:space="preserve"> días calendario de firmado el contrato.</w:t>
            </w:r>
          </w:p>
        </w:tc>
      </w:tr>
      <w:tr w:rsidR="0077484B" w:rsidRPr="002F2DD8" w14:paraId="182EDABB" w14:textId="77777777" w:rsidTr="00F87023">
        <w:trPr>
          <w:trHeight w:val="480"/>
        </w:trPr>
        <w:tc>
          <w:tcPr>
            <w:tcW w:w="3060" w:type="dxa"/>
            <w:shd w:val="clear" w:color="auto" w:fill="auto"/>
          </w:tcPr>
          <w:p w14:paraId="08F61A5D" w14:textId="7EE9556E" w:rsidR="0077484B" w:rsidRPr="002F2DD8" w:rsidRDefault="00D6492E" w:rsidP="00D6492E">
            <w:pPr>
              <w:pStyle w:val="Prrafodelista"/>
              <w:tabs>
                <w:tab w:val="left" w:pos="913"/>
              </w:tabs>
              <w:spacing w:line="360" w:lineRule="auto"/>
              <w:ind w:left="0"/>
              <w:rPr>
                <w:rFonts w:ascii="Arial" w:hAnsi="Arial" w:cs="Arial"/>
                <w:color w:val="000000"/>
                <w:sz w:val="22"/>
                <w:szCs w:val="22"/>
                <w:lang w:val="es-ES"/>
              </w:rPr>
            </w:pPr>
            <w:r>
              <w:rPr>
                <w:rFonts w:ascii="Arial" w:hAnsi="Arial" w:cs="Arial"/>
                <w:color w:val="000000"/>
                <w:sz w:val="22"/>
                <w:szCs w:val="22"/>
              </w:rPr>
              <w:t>25</w:t>
            </w:r>
            <w:r w:rsidR="0077484B" w:rsidRPr="002F2DD8">
              <w:rPr>
                <w:rFonts w:ascii="Arial" w:hAnsi="Arial" w:cs="Arial"/>
                <w:color w:val="000000"/>
                <w:sz w:val="22"/>
                <w:szCs w:val="22"/>
                <w:lang w:val="es-ES"/>
              </w:rPr>
              <w:t>%</w:t>
            </w:r>
            <w:r w:rsidR="00F87023" w:rsidRPr="002F2DD8">
              <w:rPr>
                <w:rFonts w:ascii="Arial" w:hAnsi="Arial" w:cs="Arial"/>
                <w:color w:val="000000"/>
                <w:sz w:val="22"/>
                <w:szCs w:val="22"/>
                <w:lang w:val="es-ES"/>
              </w:rPr>
              <w:tab/>
            </w:r>
            <w:r w:rsidR="00F87023" w:rsidRPr="002F2DD8">
              <w:rPr>
                <w:rFonts w:ascii="Arial" w:hAnsi="Arial" w:cs="Arial"/>
                <w:color w:val="000000"/>
                <w:sz w:val="22"/>
                <w:szCs w:val="22"/>
                <w:lang w:val="es-PE"/>
              </w:rPr>
              <w:t>del monto del contrato, a la conformidad del primer entregable</w:t>
            </w:r>
          </w:p>
        </w:tc>
        <w:tc>
          <w:tcPr>
            <w:tcW w:w="2661" w:type="dxa"/>
            <w:shd w:val="clear" w:color="auto" w:fill="auto"/>
          </w:tcPr>
          <w:p w14:paraId="645E11AA" w14:textId="77777777" w:rsidR="0077484B" w:rsidRPr="002F2DD8" w:rsidRDefault="0077484B" w:rsidP="002F2DD8">
            <w:pPr>
              <w:pStyle w:val="Prrafodelista"/>
              <w:spacing w:line="360" w:lineRule="auto"/>
              <w:ind w:left="0"/>
              <w:rPr>
                <w:rFonts w:ascii="Arial" w:hAnsi="Arial" w:cs="Arial"/>
                <w:color w:val="000000"/>
                <w:sz w:val="22"/>
                <w:szCs w:val="22"/>
                <w:lang w:val="es-ES"/>
              </w:rPr>
            </w:pPr>
            <w:r w:rsidRPr="002F2DD8">
              <w:rPr>
                <w:rFonts w:ascii="Arial" w:hAnsi="Arial" w:cs="Arial"/>
                <w:color w:val="000000"/>
                <w:sz w:val="22"/>
                <w:szCs w:val="22"/>
                <w:lang w:val="es-ES"/>
              </w:rPr>
              <w:t xml:space="preserve">Primer informe </w:t>
            </w:r>
          </w:p>
        </w:tc>
        <w:tc>
          <w:tcPr>
            <w:tcW w:w="2919" w:type="dxa"/>
            <w:shd w:val="clear" w:color="auto" w:fill="auto"/>
          </w:tcPr>
          <w:p w14:paraId="07D88339" w14:textId="298AE93E" w:rsidR="0077484B" w:rsidRPr="002F2DD8" w:rsidRDefault="0077484B" w:rsidP="002F2DD8">
            <w:pPr>
              <w:pStyle w:val="Prrafodelista"/>
              <w:spacing w:line="360" w:lineRule="auto"/>
              <w:ind w:left="0"/>
              <w:rPr>
                <w:rFonts w:ascii="Arial" w:hAnsi="Arial" w:cs="Arial"/>
                <w:color w:val="000000"/>
                <w:sz w:val="22"/>
                <w:szCs w:val="22"/>
                <w:lang w:val="es-ES"/>
              </w:rPr>
            </w:pPr>
            <w:r w:rsidRPr="002F2DD8">
              <w:rPr>
                <w:rFonts w:ascii="Arial" w:hAnsi="Arial" w:cs="Arial"/>
                <w:color w:val="000000"/>
                <w:sz w:val="22"/>
                <w:szCs w:val="22"/>
                <w:lang w:val="es-ES"/>
              </w:rPr>
              <w:t xml:space="preserve">Máximo de </w:t>
            </w:r>
            <w:r w:rsidR="00D6492E">
              <w:rPr>
                <w:rFonts w:ascii="Arial" w:hAnsi="Arial" w:cs="Arial"/>
                <w:color w:val="000000"/>
                <w:sz w:val="22"/>
                <w:szCs w:val="22"/>
                <w:lang w:val="es-ES"/>
              </w:rPr>
              <w:t>4</w:t>
            </w:r>
            <w:r w:rsidR="00A24E34" w:rsidRPr="002F2DD8">
              <w:rPr>
                <w:rFonts w:ascii="Arial" w:hAnsi="Arial" w:cs="Arial"/>
                <w:color w:val="000000"/>
                <w:sz w:val="22"/>
                <w:szCs w:val="22"/>
                <w:lang w:val="es-ES"/>
              </w:rPr>
              <w:t>0</w:t>
            </w:r>
            <w:r w:rsidRPr="002F2DD8">
              <w:rPr>
                <w:rFonts w:ascii="Arial" w:hAnsi="Arial" w:cs="Arial"/>
                <w:color w:val="000000"/>
                <w:sz w:val="22"/>
                <w:szCs w:val="22"/>
                <w:lang w:val="es-ES"/>
              </w:rPr>
              <w:t xml:space="preserve"> días </w:t>
            </w:r>
            <w:r w:rsidR="00F87023" w:rsidRPr="002F2DD8">
              <w:rPr>
                <w:rFonts w:ascii="Arial" w:hAnsi="Arial" w:cs="Arial"/>
                <w:color w:val="000000"/>
                <w:sz w:val="22"/>
                <w:szCs w:val="22"/>
                <w:lang w:val="es-ES"/>
              </w:rPr>
              <w:t>calendario de firmado el contrato.</w:t>
            </w:r>
            <w:r w:rsidRPr="002F2DD8">
              <w:rPr>
                <w:rFonts w:ascii="Arial" w:hAnsi="Arial" w:cs="Arial"/>
                <w:color w:val="000000"/>
                <w:sz w:val="22"/>
                <w:szCs w:val="22"/>
                <w:lang w:val="es-ES"/>
              </w:rPr>
              <w:t xml:space="preserve"> </w:t>
            </w:r>
          </w:p>
        </w:tc>
      </w:tr>
      <w:tr w:rsidR="0077484B" w:rsidRPr="002F2DD8" w14:paraId="46348460" w14:textId="77777777" w:rsidTr="00F87023">
        <w:trPr>
          <w:trHeight w:val="461"/>
        </w:trPr>
        <w:tc>
          <w:tcPr>
            <w:tcW w:w="3060" w:type="dxa"/>
            <w:shd w:val="clear" w:color="auto" w:fill="auto"/>
          </w:tcPr>
          <w:p w14:paraId="5889F42D" w14:textId="5D8CC7F6" w:rsidR="0077484B" w:rsidRPr="002F2DD8" w:rsidRDefault="00D6492E" w:rsidP="00D6492E">
            <w:pPr>
              <w:pStyle w:val="Prrafodelista"/>
              <w:spacing w:line="360" w:lineRule="auto"/>
              <w:ind w:left="0"/>
              <w:rPr>
                <w:rFonts w:ascii="Arial" w:hAnsi="Arial" w:cs="Arial"/>
                <w:color w:val="000000"/>
                <w:sz w:val="22"/>
                <w:szCs w:val="22"/>
                <w:lang w:val="es-ES"/>
              </w:rPr>
            </w:pPr>
            <w:r>
              <w:rPr>
                <w:rFonts w:ascii="Arial" w:hAnsi="Arial" w:cs="Arial"/>
                <w:color w:val="000000"/>
                <w:sz w:val="22"/>
                <w:szCs w:val="22"/>
                <w:lang w:val="es-ES"/>
              </w:rPr>
              <w:t>25</w:t>
            </w:r>
            <w:r w:rsidR="0077484B" w:rsidRPr="002F2DD8">
              <w:rPr>
                <w:rFonts w:ascii="Arial" w:hAnsi="Arial" w:cs="Arial"/>
                <w:color w:val="000000"/>
                <w:sz w:val="22"/>
                <w:szCs w:val="22"/>
                <w:lang w:val="es-ES"/>
              </w:rPr>
              <w:t>%</w:t>
            </w:r>
            <w:r w:rsidR="00F87023" w:rsidRPr="002F2DD8">
              <w:rPr>
                <w:rFonts w:ascii="Arial" w:hAnsi="Arial" w:cs="Arial"/>
                <w:color w:val="000000"/>
                <w:sz w:val="22"/>
                <w:szCs w:val="22"/>
                <w:lang w:val="es-ES"/>
              </w:rPr>
              <w:t xml:space="preserve"> </w:t>
            </w:r>
            <w:r w:rsidR="00F87023" w:rsidRPr="002F2DD8">
              <w:rPr>
                <w:rFonts w:ascii="Arial" w:hAnsi="Arial" w:cs="Arial"/>
                <w:color w:val="000000"/>
                <w:sz w:val="22"/>
                <w:szCs w:val="22"/>
                <w:lang w:val="es-PE"/>
              </w:rPr>
              <w:t>del monto del contrato, a la conformidad del primer entregable</w:t>
            </w:r>
          </w:p>
        </w:tc>
        <w:tc>
          <w:tcPr>
            <w:tcW w:w="2661" w:type="dxa"/>
            <w:shd w:val="clear" w:color="auto" w:fill="auto"/>
          </w:tcPr>
          <w:p w14:paraId="3F693DB0" w14:textId="77777777" w:rsidR="0077484B" w:rsidRPr="002F2DD8" w:rsidRDefault="0077484B" w:rsidP="002F2DD8">
            <w:pPr>
              <w:pStyle w:val="Prrafodelista"/>
              <w:spacing w:line="360" w:lineRule="auto"/>
              <w:ind w:left="0"/>
              <w:rPr>
                <w:rFonts w:ascii="Arial" w:hAnsi="Arial" w:cs="Arial"/>
                <w:color w:val="000000"/>
                <w:sz w:val="22"/>
                <w:szCs w:val="22"/>
                <w:lang w:val="es-ES"/>
              </w:rPr>
            </w:pPr>
            <w:r w:rsidRPr="002F2DD8">
              <w:rPr>
                <w:rFonts w:ascii="Arial" w:hAnsi="Arial" w:cs="Arial"/>
                <w:color w:val="000000"/>
                <w:sz w:val="22"/>
                <w:szCs w:val="22"/>
                <w:lang w:val="es-ES"/>
              </w:rPr>
              <w:t xml:space="preserve">Segundo informe </w:t>
            </w:r>
          </w:p>
        </w:tc>
        <w:tc>
          <w:tcPr>
            <w:tcW w:w="2919" w:type="dxa"/>
            <w:shd w:val="clear" w:color="auto" w:fill="auto"/>
          </w:tcPr>
          <w:p w14:paraId="43704C86" w14:textId="77777777" w:rsidR="0077484B" w:rsidRPr="002F2DD8" w:rsidRDefault="00A24E34" w:rsidP="002F2DD8">
            <w:pPr>
              <w:pStyle w:val="Prrafodelista"/>
              <w:spacing w:line="360" w:lineRule="auto"/>
              <w:ind w:left="0"/>
              <w:rPr>
                <w:rFonts w:ascii="Arial" w:hAnsi="Arial" w:cs="Arial"/>
                <w:color w:val="000000"/>
                <w:sz w:val="22"/>
                <w:szCs w:val="22"/>
                <w:lang w:val="es-ES"/>
              </w:rPr>
            </w:pPr>
            <w:r w:rsidRPr="002F2DD8">
              <w:rPr>
                <w:rFonts w:ascii="Arial" w:hAnsi="Arial" w:cs="Arial"/>
                <w:color w:val="000000"/>
                <w:sz w:val="22"/>
                <w:szCs w:val="22"/>
                <w:lang w:val="es-ES"/>
              </w:rPr>
              <w:t xml:space="preserve">Máximo de </w:t>
            </w:r>
            <w:r w:rsidR="00124CCE" w:rsidRPr="002F2DD8">
              <w:rPr>
                <w:rFonts w:ascii="Arial" w:hAnsi="Arial" w:cs="Arial"/>
                <w:color w:val="000000"/>
                <w:sz w:val="22"/>
                <w:szCs w:val="22"/>
                <w:lang w:val="es-ES"/>
              </w:rPr>
              <w:t>60</w:t>
            </w:r>
            <w:r w:rsidR="0077484B" w:rsidRPr="002F2DD8">
              <w:rPr>
                <w:rFonts w:ascii="Arial" w:hAnsi="Arial" w:cs="Arial"/>
                <w:color w:val="000000"/>
                <w:sz w:val="22"/>
                <w:szCs w:val="22"/>
                <w:lang w:val="es-ES"/>
              </w:rPr>
              <w:t xml:space="preserve"> días </w:t>
            </w:r>
            <w:r w:rsidR="00F87023" w:rsidRPr="002F2DD8">
              <w:rPr>
                <w:rFonts w:ascii="Arial" w:hAnsi="Arial" w:cs="Arial"/>
                <w:color w:val="000000"/>
                <w:sz w:val="22"/>
                <w:szCs w:val="22"/>
                <w:lang w:val="es-ES"/>
              </w:rPr>
              <w:t>calendario de firmado el contrato.</w:t>
            </w:r>
          </w:p>
        </w:tc>
      </w:tr>
      <w:tr w:rsidR="0077484B" w:rsidRPr="002F2DD8" w14:paraId="008FEC07" w14:textId="77777777" w:rsidTr="00F87023">
        <w:tc>
          <w:tcPr>
            <w:tcW w:w="3060" w:type="dxa"/>
            <w:shd w:val="clear" w:color="auto" w:fill="auto"/>
          </w:tcPr>
          <w:p w14:paraId="67C72C97" w14:textId="108EE4BA" w:rsidR="0077484B" w:rsidRPr="002F2DD8" w:rsidRDefault="00D6492E" w:rsidP="00D6492E">
            <w:pPr>
              <w:pStyle w:val="Prrafodelista"/>
              <w:spacing w:line="360" w:lineRule="auto"/>
              <w:ind w:left="0"/>
              <w:rPr>
                <w:rFonts w:ascii="Arial" w:hAnsi="Arial" w:cs="Arial"/>
                <w:color w:val="000000"/>
                <w:sz w:val="22"/>
                <w:szCs w:val="22"/>
                <w:lang w:val="es-ES"/>
              </w:rPr>
            </w:pPr>
            <w:r>
              <w:rPr>
                <w:rFonts w:ascii="Arial" w:hAnsi="Arial" w:cs="Arial"/>
                <w:color w:val="000000"/>
                <w:sz w:val="22"/>
                <w:szCs w:val="22"/>
              </w:rPr>
              <w:t>35</w:t>
            </w:r>
            <w:r w:rsidR="0077484B" w:rsidRPr="002F2DD8">
              <w:rPr>
                <w:rFonts w:ascii="Arial" w:hAnsi="Arial" w:cs="Arial"/>
                <w:color w:val="000000"/>
                <w:sz w:val="22"/>
                <w:szCs w:val="22"/>
                <w:lang w:val="es-ES"/>
              </w:rPr>
              <w:t>%</w:t>
            </w:r>
            <w:r w:rsidR="00F87023" w:rsidRPr="002F2DD8">
              <w:rPr>
                <w:rFonts w:ascii="Arial" w:hAnsi="Arial" w:cs="Arial"/>
                <w:color w:val="000000"/>
                <w:sz w:val="22"/>
                <w:szCs w:val="22"/>
                <w:lang w:val="es-ES"/>
              </w:rPr>
              <w:t xml:space="preserve"> </w:t>
            </w:r>
            <w:r w:rsidR="00F87023" w:rsidRPr="002F2DD8">
              <w:rPr>
                <w:rFonts w:ascii="Arial" w:hAnsi="Arial" w:cs="Arial"/>
                <w:color w:val="000000"/>
                <w:sz w:val="22"/>
                <w:szCs w:val="22"/>
                <w:lang w:val="es-PE"/>
              </w:rPr>
              <w:t xml:space="preserve">del monto del contrato, a la conformidad del Informe Final.    </w:t>
            </w:r>
          </w:p>
        </w:tc>
        <w:tc>
          <w:tcPr>
            <w:tcW w:w="2661" w:type="dxa"/>
            <w:shd w:val="clear" w:color="auto" w:fill="auto"/>
          </w:tcPr>
          <w:p w14:paraId="5F069543" w14:textId="77777777" w:rsidR="0077484B" w:rsidRPr="002F2DD8" w:rsidRDefault="00F87023" w:rsidP="002F2DD8">
            <w:pPr>
              <w:pStyle w:val="Prrafodelista"/>
              <w:spacing w:line="360" w:lineRule="auto"/>
              <w:ind w:left="0"/>
              <w:rPr>
                <w:rFonts w:ascii="Arial" w:hAnsi="Arial" w:cs="Arial"/>
                <w:color w:val="000000"/>
                <w:sz w:val="22"/>
                <w:szCs w:val="22"/>
                <w:lang w:val="es-ES"/>
              </w:rPr>
            </w:pPr>
            <w:r w:rsidRPr="002F2DD8">
              <w:rPr>
                <w:rFonts w:ascii="Arial" w:hAnsi="Arial" w:cs="Arial"/>
                <w:color w:val="000000"/>
                <w:sz w:val="22"/>
                <w:szCs w:val="22"/>
                <w:lang w:val="es-ES"/>
              </w:rPr>
              <w:t>Informe Final</w:t>
            </w:r>
          </w:p>
        </w:tc>
        <w:tc>
          <w:tcPr>
            <w:tcW w:w="2919" w:type="dxa"/>
            <w:shd w:val="clear" w:color="auto" w:fill="auto"/>
          </w:tcPr>
          <w:p w14:paraId="1A992793" w14:textId="2A9F82F0" w:rsidR="0077484B" w:rsidRPr="002F2DD8" w:rsidRDefault="00124CCE" w:rsidP="002F2DD8">
            <w:pPr>
              <w:pStyle w:val="Prrafodelista"/>
              <w:spacing w:line="360" w:lineRule="auto"/>
              <w:ind w:left="0"/>
              <w:rPr>
                <w:rFonts w:ascii="Arial" w:hAnsi="Arial" w:cs="Arial"/>
                <w:color w:val="000000"/>
                <w:sz w:val="22"/>
                <w:szCs w:val="22"/>
                <w:lang w:val="es-ES"/>
              </w:rPr>
            </w:pPr>
            <w:r w:rsidRPr="002F2DD8">
              <w:rPr>
                <w:rFonts w:ascii="Arial" w:hAnsi="Arial" w:cs="Arial"/>
                <w:color w:val="000000"/>
                <w:sz w:val="22"/>
                <w:szCs w:val="22"/>
                <w:lang w:val="es-ES"/>
              </w:rPr>
              <w:t xml:space="preserve">Máximo de </w:t>
            </w:r>
            <w:r w:rsidR="00312787" w:rsidRPr="00D44044">
              <w:rPr>
                <w:rFonts w:ascii="Arial" w:hAnsi="Arial" w:cs="Arial"/>
                <w:color w:val="000000"/>
                <w:sz w:val="22"/>
                <w:szCs w:val="22"/>
                <w:lang w:val="es-ES"/>
              </w:rPr>
              <w:t>12</w:t>
            </w:r>
            <w:r w:rsidR="0077484B" w:rsidRPr="00D44044">
              <w:rPr>
                <w:rFonts w:ascii="Arial" w:hAnsi="Arial" w:cs="Arial"/>
                <w:color w:val="000000"/>
                <w:sz w:val="22"/>
                <w:szCs w:val="22"/>
                <w:lang w:val="es-ES"/>
              </w:rPr>
              <w:t>0</w:t>
            </w:r>
            <w:bookmarkStart w:id="0" w:name="_GoBack"/>
            <w:bookmarkEnd w:id="0"/>
            <w:r w:rsidR="0077484B" w:rsidRPr="002F2DD8">
              <w:rPr>
                <w:rFonts w:ascii="Arial" w:hAnsi="Arial" w:cs="Arial"/>
                <w:color w:val="000000"/>
                <w:sz w:val="22"/>
                <w:szCs w:val="22"/>
                <w:lang w:val="es-ES"/>
              </w:rPr>
              <w:t xml:space="preserve"> días </w:t>
            </w:r>
            <w:r w:rsidR="00F87023" w:rsidRPr="002F2DD8">
              <w:rPr>
                <w:rFonts w:ascii="Arial" w:hAnsi="Arial" w:cs="Arial"/>
                <w:color w:val="000000"/>
                <w:sz w:val="22"/>
                <w:szCs w:val="22"/>
                <w:lang w:val="es-ES"/>
              </w:rPr>
              <w:t>calendario de firmado el contrato.</w:t>
            </w:r>
          </w:p>
        </w:tc>
      </w:tr>
    </w:tbl>
    <w:p w14:paraId="2C5E6FCF" w14:textId="77777777" w:rsidR="0077484B" w:rsidRPr="002F2DD8" w:rsidRDefault="0077484B" w:rsidP="002F2DD8">
      <w:pPr>
        <w:pStyle w:val="Prrafodelista"/>
        <w:spacing w:after="200" w:line="360" w:lineRule="auto"/>
        <w:ind w:left="1080"/>
        <w:rPr>
          <w:rFonts w:ascii="Arial" w:hAnsi="Arial" w:cs="Arial"/>
          <w:color w:val="000000"/>
          <w:sz w:val="22"/>
          <w:szCs w:val="22"/>
          <w:lang w:val="es-ES"/>
        </w:rPr>
      </w:pPr>
    </w:p>
    <w:p w14:paraId="3DF41292" w14:textId="77777777" w:rsidR="0077484B" w:rsidRPr="002F2DD8" w:rsidRDefault="0077484B" w:rsidP="002F2DD8">
      <w:pPr>
        <w:pStyle w:val="Prrafodelista"/>
        <w:spacing w:after="200" w:line="360" w:lineRule="auto"/>
        <w:rPr>
          <w:rFonts w:ascii="Arial" w:hAnsi="Arial" w:cs="Arial"/>
          <w:color w:val="000000"/>
          <w:sz w:val="22"/>
          <w:szCs w:val="22"/>
          <w:lang w:val="es-ES"/>
        </w:rPr>
      </w:pPr>
      <w:r w:rsidRPr="002F2DD8">
        <w:rPr>
          <w:rFonts w:ascii="Arial" w:hAnsi="Arial" w:cs="Arial"/>
          <w:color w:val="000000"/>
          <w:sz w:val="22"/>
          <w:szCs w:val="22"/>
          <w:lang w:val="es-ES"/>
        </w:rPr>
        <w:t>Los informe deberán ser entregados impresos (1 original y una copia) y en medio magnético (CD, USB). La información en el medio magnético deberá contener los informes es Microsoft office y en hojas de cálculo Excel, además de la metodología empleada, base de datos y aplicaciones.</w:t>
      </w:r>
    </w:p>
    <w:p w14:paraId="57793D1F" w14:textId="77777777" w:rsidR="00384421" w:rsidRPr="002F2DD8" w:rsidRDefault="00384421" w:rsidP="002F2DD8">
      <w:pPr>
        <w:pStyle w:val="Prrafodelista"/>
        <w:spacing w:after="200" w:line="360" w:lineRule="auto"/>
        <w:rPr>
          <w:rFonts w:ascii="Arial" w:hAnsi="Arial" w:cs="Arial"/>
          <w:color w:val="000000"/>
          <w:sz w:val="22"/>
          <w:szCs w:val="22"/>
          <w:lang w:val="es-ES"/>
        </w:rPr>
      </w:pPr>
    </w:p>
    <w:p w14:paraId="612ABAC2" w14:textId="77777777" w:rsidR="002F2DD8" w:rsidRDefault="002F2DD8" w:rsidP="002F2DD8">
      <w:pPr>
        <w:pStyle w:val="Prrafodelista"/>
        <w:spacing w:after="200" w:line="360" w:lineRule="auto"/>
        <w:rPr>
          <w:rFonts w:ascii="Arial" w:hAnsi="Arial" w:cs="Arial"/>
          <w:b/>
          <w:color w:val="000000"/>
          <w:sz w:val="22"/>
          <w:szCs w:val="22"/>
          <w:lang w:val="es-ES"/>
        </w:rPr>
      </w:pPr>
    </w:p>
    <w:p w14:paraId="3F4B7EEA" w14:textId="77777777" w:rsidR="002F2DD8" w:rsidRDefault="002F2DD8" w:rsidP="002F2DD8">
      <w:pPr>
        <w:pStyle w:val="Prrafodelista"/>
        <w:spacing w:after="200" w:line="360" w:lineRule="auto"/>
        <w:rPr>
          <w:rFonts w:ascii="Arial" w:hAnsi="Arial" w:cs="Arial"/>
          <w:b/>
          <w:color w:val="000000"/>
          <w:sz w:val="22"/>
          <w:szCs w:val="22"/>
          <w:lang w:val="es-ES"/>
        </w:rPr>
      </w:pPr>
    </w:p>
    <w:p w14:paraId="4E50BA10" w14:textId="77777777" w:rsidR="00430A65" w:rsidRPr="002F2DD8" w:rsidRDefault="00430A65" w:rsidP="002F2DD8">
      <w:pPr>
        <w:pStyle w:val="Prrafodelista"/>
        <w:spacing w:after="200" w:line="360" w:lineRule="auto"/>
        <w:rPr>
          <w:rFonts w:ascii="Arial" w:hAnsi="Arial" w:cs="Arial"/>
          <w:color w:val="000000"/>
          <w:sz w:val="22"/>
          <w:szCs w:val="22"/>
          <w:lang w:val="es-ES"/>
        </w:rPr>
      </w:pPr>
      <w:r w:rsidRPr="002F2DD8">
        <w:rPr>
          <w:rFonts w:ascii="Arial" w:hAnsi="Arial" w:cs="Arial"/>
          <w:b/>
          <w:color w:val="000000"/>
          <w:sz w:val="22"/>
          <w:szCs w:val="22"/>
          <w:lang w:val="es-ES"/>
        </w:rPr>
        <w:t>Perfil del Consultor</w:t>
      </w:r>
    </w:p>
    <w:p w14:paraId="09FED69A" w14:textId="77777777" w:rsidR="00430A65" w:rsidRPr="002F2DD8" w:rsidRDefault="00430A65" w:rsidP="002F2DD8">
      <w:pPr>
        <w:pStyle w:val="Prrafodelista"/>
        <w:spacing w:after="200" w:line="360" w:lineRule="auto"/>
        <w:ind w:left="1080"/>
        <w:rPr>
          <w:rFonts w:ascii="Arial" w:hAnsi="Arial" w:cs="Arial"/>
          <w:b/>
          <w:color w:val="000000"/>
          <w:sz w:val="22"/>
          <w:szCs w:val="22"/>
          <w:lang w:val="es-ES"/>
        </w:rPr>
      </w:pPr>
    </w:p>
    <w:p w14:paraId="107B7CCF" w14:textId="77777777" w:rsidR="00430A65" w:rsidRPr="002F2DD8" w:rsidRDefault="00430A65" w:rsidP="002F2DD8">
      <w:pPr>
        <w:pStyle w:val="Estilopredeterminado"/>
        <w:numPr>
          <w:ilvl w:val="0"/>
          <w:numId w:val="11"/>
        </w:numPr>
        <w:spacing w:after="0" w:line="360" w:lineRule="auto"/>
        <w:rPr>
          <w:color w:val="auto"/>
          <w:sz w:val="22"/>
          <w:szCs w:val="22"/>
          <w:lang w:val="es-PE" w:eastAsia="es-PE"/>
        </w:rPr>
      </w:pPr>
      <w:r w:rsidRPr="002F2DD8">
        <w:rPr>
          <w:rFonts w:eastAsia="Times New Roman"/>
          <w:sz w:val="22"/>
          <w:szCs w:val="22"/>
          <w:lang w:eastAsia="en-US"/>
        </w:rPr>
        <w:t xml:space="preserve">Magíster o Doctor </w:t>
      </w:r>
      <w:r w:rsidRPr="002F2DD8">
        <w:rPr>
          <w:color w:val="auto"/>
          <w:sz w:val="22"/>
          <w:szCs w:val="22"/>
          <w:lang w:val="es-PE" w:eastAsia="es-PE"/>
        </w:rPr>
        <w:t xml:space="preserve">en </w:t>
      </w:r>
      <w:r w:rsidRPr="002F2DD8">
        <w:rPr>
          <w:sz w:val="22"/>
          <w:szCs w:val="22"/>
          <w:lang w:val="es-PE" w:eastAsia="es-PE"/>
        </w:rPr>
        <w:t>ciencias o ingeniería, ciencias sociales, políticas públicas, o afines</w:t>
      </w:r>
      <w:r w:rsidRPr="002F2DD8">
        <w:rPr>
          <w:color w:val="auto"/>
          <w:sz w:val="22"/>
          <w:szCs w:val="22"/>
          <w:lang w:val="es-PE" w:eastAsia="es-PE"/>
        </w:rPr>
        <w:t>.</w:t>
      </w:r>
    </w:p>
    <w:p w14:paraId="6C6FC0C7" w14:textId="77777777" w:rsidR="00430A65" w:rsidRPr="002F2DD8" w:rsidRDefault="00430A65" w:rsidP="002F2DD8">
      <w:pPr>
        <w:pStyle w:val="Estilopredeterminado"/>
        <w:numPr>
          <w:ilvl w:val="0"/>
          <w:numId w:val="11"/>
        </w:numPr>
        <w:spacing w:after="0" w:line="360" w:lineRule="auto"/>
        <w:rPr>
          <w:rFonts w:eastAsia="Times New Roman"/>
          <w:sz w:val="22"/>
          <w:szCs w:val="22"/>
          <w:lang w:eastAsia="en-US"/>
        </w:rPr>
      </w:pPr>
      <w:r w:rsidRPr="002F2DD8">
        <w:rPr>
          <w:rFonts w:eastAsia="Times New Roman"/>
          <w:sz w:val="22"/>
          <w:szCs w:val="22"/>
          <w:lang w:eastAsia="en-US"/>
        </w:rPr>
        <w:t xml:space="preserve">Especialista en temas de ciencia, tecnología e innovación </w:t>
      </w:r>
    </w:p>
    <w:p w14:paraId="1643793F" w14:textId="77777777" w:rsidR="00430A65" w:rsidRPr="002F2DD8" w:rsidRDefault="00430A65" w:rsidP="002F2DD8">
      <w:pPr>
        <w:pStyle w:val="Estilopredeterminado"/>
        <w:numPr>
          <w:ilvl w:val="0"/>
          <w:numId w:val="11"/>
        </w:numPr>
        <w:spacing w:after="0" w:line="360" w:lineRule="auto"/>
        <w:rPr>
          <w:rFonts w:eastAsia="Times New Roman"/>
          <w:sz w:val="22"/>
          <w:szCs w:val="22"/>
          <w:lang w:eastAsia="en-US"/>
        </w:rPr>
      </w:pPr>
      <w:r w:rsidRPr="002F2DD8">
        <w:rPr>
          <w:rFonts w:eastAsia="Times New Roman"/>
          <w:sz w:val="22"/>
          <w:szCs w:val="22"/>
          <w:lang w:eastAsia="en-US"/>
        </w:rPr>
        <w:t>Experiencia laboral mínima de 10 años</w:t>
      </w:r>
    </w:p>
    <w:p w14:paraId="358F2F8B" w14:textId="77777777" w:rsidR="00430A65" w:rsidRPr="002F2DD8" w:rsidRDefault="00430A65" w:rsidP="002F2DD8">
      <w:pPr>
        <w:pStyle w:val="Estilopredeterminado"/>
        <w:numPr>
          <w:ilvl w:val="0"/>
          <w:numId w:val="11"/>
        </w:numPr>
        <w:spacing w:after="0" w:line="360" w:lineRule="auto"/>
        <w:rPr>
          <w:rFonts w:eastAsia="Times New Roman"/>
          <w:sz w:val="22"/>
          <w:szCs w:val="22"/>
          <w:lang w:eastAsia="en-US"/>
        </w:rPr>
      </w:pPr>
      <w:r w:rsidRPr="002F2DD8">
        <w:rPr>
          <w:rFonts w:eastAsia="Times New Roman"/>
          <w:sz w:val="22"/>
          <w:szCs w:val="22"/>
          <w:lang w:eastAsia="en-US"/>
        </w:rPr>
        <w:t xml:space="preserve">Experiencia mínima de 05 años en temas de ciencia, tecnología e innovación </w:t>
      </w:r>
    </w:p>
    <w:p w14:paraId="511FB02D" w14:textId="77777777" w:rsidR="00430A65" w:rsidRDefault="00430A65" w:rsidP="002F2DD8">
      <w:pPr>
        <w:pStyle w:val="Estilopredeterminado"/>
        <w:numPr>
          <w:ilvl w:val="0"/>
          <w:numId w:val="11"/>
        </w:numPr>
        <w:spacing w:after="0" w:line="360" w:lineRule="auto"/>
        <w:rPr>
          <w:rFonts w:eastAsia="Times New Roman"/>
          <w:sz w:val="22"/>
          <w:szCs w:val="22"/>
          <w:lang w:eastAsia="en-US"/>
        </w:rPr>
      </w:pPr>
      <w:r w:rsidRPr="002F2DD8">
        <w:rPr>
          <w:rFonts w:eastAsia="Times New Roman"/>
          <w:sz w:val="22"/>
          <w:szCs w:val="22"/>
          <w:lang w:eastAsia="en-US"/>
        </w:rPr>
        <w:t xml:space="preserve">Experiencia como Jefe o Coordinador de Estudios relacionados con la materia de la contratación </w:t>
      </w:r>
    </w:p>
    <w:p w14:paraId="04762043" w14:textId="77777777" w:rsidR="001209CD" w:rsidRPr="002F2DD8" w:rsidRDefault="001209CD" w:rsidP="002F2DD8">
      <w:pPr>
        <w:pStyle w:val="Prrafodelista"/>
        <w:spacing w:after="200" w:line="360" w:lineRule="auto"/>
        <w:rPr>
          <w:rFonts w:ascii="Arial" w:hAnsi="Arial" w:cs="Arial"/>
          <w:b/>
          <w:color w:val="000000"/>
          <w:sz w:val="22"/>
          <w:szCs w:val="22"/>
          <w:lang w:val="es-PE"/>
        </w:rPr>
      </w:pPr>
      <w:r w:rsidRPr="002F2DD8">
        <w:rPr>
          <w:rFonts w:ascii="Arial" w:hAnsi="Arial" w:cs="Arial"/>
          <w:b/>
          <w:color w:val="000000"/>
          <w:sz w:val="22"/>
          <w:szCs w:val="22"/>
          <w:lang w:val="es-PE"/>
        </w:rPr>
        <w:br w:type="page"/>
      </w:r>
      <w:r w:rsidRPr="002F2DD8">
        <w:rPr>
          <w:rFonts w:ascii="Arial" w:hAnsi="Arial" w:cs="Arial"/>
          <w:b/>
          <w:color w:val="000000"/>
          <w:sz w:val="22"/>
          <w:szCs w:val="22"/>
          <w:lang w:val="es-PE"/>
        </w:rPr>
        <w:lastRenderedPageBreak/>
        <w:t>ANEXOS</w:t>
      </w:r>
    </w:p>
    <w:p w14:paraId="42C04F21" w14:textId="77777777" w:rsidR="001209CD" w:rsidRPr="002F2DD8" w:rsidRDefault="001209CD" w:rsidP="002F2DD8">
      <w:pPr>
        <w:pStyle w:val="Prrafodelista"/>
        <w:spacing w:after="200" w:line="360" w:lineRule="auto"/>
        <w:rPr>
          <w:rFonts w:ascii="Arial" w:hAnsi="Arial" w:cs="Arial"/>
          <w:b/>
          <w:color w:val="000000"/>
          <w:sz w:val="22"/>
          <w:szCs w:val="22"/>
          <w:lang w:val="es-PE"/>
        </w:rPr>
      </w:pPr>
    </w:p>
    <w:p w14:paraId="6A033C94" w14:textId="77777777" w:rsidR="00D6492E" w:rsidRDefault="00D6492E" w:rsidP="00D6492E">
      <w:pPr>
        <w:pStyle w:val="Cuerpodetexto"/>
        <w:numPr>
          <w:ilvl w:val="0"/>
          <w:numId w:val="10"/>
        </w:numPr>
        <w:rPr>
          <w:b/>
        </w:rPr>
      </w:pPr>
      <w:r>
        <w:rPr>
          <w:b/>
        </w:rPr>
        <w:t xml:space="preserve">Estructura de Costos </w:t>
      </w:r>
    </w:p>
    <w:p w14:paraId="1937F793" w14:textId="4F3DB20B" w:rsidR="00D6492E" w:rsidRDefault="00D6492E" w:rsidP="00D6492E">
      <w:pPr>
        <w:pStyle w:val="Cuerpodetexto"/>
        <w:ind w:left="1080"/>
      </w:pPr>
      <w:proofErr w:type="gramStart"/>
      <w:r>
        <w:t>Consultor  US</w:t>
      </w:r>
      <w:proofErr w:type="gramEnd"/>
      <w:r>
        <w:t>$ 23,000</w:t>
      </w:r>
    </w:p>
    <w:p w14:paraId="132174E8" w14:textId="38A3EC86" w:rsidR="00D6492E" w:rsidRDefault="00D6492E" w:rsidP="00D6492E">
      <w:pPr>
        <w:pStyle w:val="Cuerpodetexto"/>
        <w:ind w:left="1080"/>
      </w:pPr>
      <w:r>
        <w:t>Gastos de administración US$ 2,000</w:t>
      </w:r>
    </w:p>
    <w:p w14:paraId="058EAC18" w14:textId="77777777" w:rsidR="00D6492E" w:rsidRDefault="00D6492E" w:rsidP="00D6492E">
      <w:pPr>
        <w:pStyle w:val="Cuerpodetexto"/>
        <w:ind w:left="1080"/>
      </w:pPr>
    </w:p>
    <w:p w14:paraId="66A885F2" w14:textId="77777777" w:rsidR="001209CD" w:rsidRPr="002F2DD8" w:rsidRDefault="001209CD" w:rsidP="002F2DD8">
      <w:pPr>
        <w:pStyle w:val="Prrafodelista"/>
        <w:numPr>
          <w:ilvl w:val="0"/>
          <w:numId w:val="10"/>
        </w:numPr>
        <w:spacing w:after="200" w:line="360" w:lineRule="auto"/>
        <w:rPr>
          <w:rFonts w:ascii="Arial" w:hAnsi="Arial" w:cs="Arial"/>
          <w:b/>
          <w:color w:val="000000"/>
          <w:sz w:val="22"/>
          <w:szCs w:val="22"/>
          <w:lang w:val="es-PE"/>
        </w:rPr>
      </w:pPr>
      <w:r w:rsidRPr="002F2DD8">
        <w:rPr>
          <w:rFonts w:ascii="Arial" w:hAnsi="Arial" w:cs="Arial"/>
          <w:b/>
          <w:color w:val="000000"/>
          <w:sz w:val="22"/>
          <w:szCs w:val="22"/>
          <w:lang w:val="es-PE"/>
        </w:rPr>
        <w:t xml:space="preserve">Bibliografía </w:t>
      </w:r>
      <w:r w:rsidR="00E76B93" w:rsidRPr="002F2DD8">
        <w:rPr>
          <w:rFonts w:ascii="Arial" w:hAnsi="Arial" w:cs="Arial"/>
          <w:b/>
          <w:color w:val="000000"/>
          <w:sz w:val="22"/>
          <w:szCs w:val="22"/>
          <w:lang w:val="es-PE"/>
        </w:rPr>
        <w:t xml:space="preserve">Mínima </w:t>
      </w:r>
      <w:r w:rsidRPr="002F2DD8">
        <w:rPr>
          <w:rFonts w:ascii="Arial" w:hAnsi="Arial" w:cs="Arial"/>
          <w:b/>
          <w:color w:val="000000"/>
          <w:sz w:val="22"/>
          <w:szCs w:val="22"/>
          <w:lang w:val="es-PE"/>
        </w:rPr>
        <w:t>a revisar</w:t>
      </w:r>
    </w:p>
    <w:p w14:paraId="6A277066" w14:textId="77777777" w:rsidR="001209CD" w:rsidRPr="002F2DD8" w:rsidRDefault="001209CD" w:rsidP="002F2DD8">
      <w:pPr>
        <w:pStyle w:val="Prrafodelista"/>
        <w:spacing w:after="200" w:line="360" w:lineRule="auto"/>
        <w:rPr>
          <w:rFonts w:ascii="Arial" w:hAnsi="Arial" w:cs="Arial"/>
          <w:b/>
          <w:color w:val="000000"/>
          <w:sz w:val="22"/>
          <w:szCs w:val="22"/>
          <w:lang w:val="es-PE"/>
        </w:rPr>
      </w:pPr>
    </w:p>
    <w:p w14:paraId="060FF0F2" w14:textId="77777777" w:rsidR="00407089" w:rsidRPr="002F2DD8" w:rsidRDefault="00407089" w:rsidP="002F2DD8">
      <w:pPr>
        <w:pStyle w:val="Prrafodelista"/>
        <w:spacing w:after="200" w:line="360" w:lineRule="auto"/>
        <w:rPr>
          <w:rFonts w:ascii="Arial" w:hAnsi="Arial" w:cs="Arial"/>
          <w:color w:val="000000"/>
          <w:sz w:val="22"/>
          <w:szCs w:val="22"/>
          <w:lang w:val="es-ES"/>
        </w:rPr>
      </w:pPr>
      <w:proofErr w:type="spellStart"/>
      <w:r w:rsidRPr="002F2DD8">
        <w:rPr>
          <w:rFonts w:ascii="Arial" w:hAnsi="Arial" w:cs="Arial"/>
          <w:b/>
          <w:color w:val="000000"/>
          <w:sz w:val="22"/>
          <w:szCs w:val="22"/>
          <w:lang w:val="es-ES"/>
        </w:rPr>
        <w:t>Aceytuno</w:t>
      </w:r>
      <w:proofErr w:type="spellEnd"/>
      <w:r w:rsidR="00B16CE9" w:rsidRPr="002F2DD8">
        <w:rPr>
          <w:rFonts w:ascii="Arial" w:hAnsi="Arial" w:cs="Arial"/>
          <w:b/>
          <w:color w:val="000000"/>
          <w:sz w:val="22"/>
          <w:szCs w:val="22"/>
          <w:lang w:val="es-ES"/>
        </w:rPr>
        <w:t>, M.</w:t>
      </w:r>
      <w:r w:rsidRPr="002F2DD8">
        <w:rPr>
          <w:rFonts w:ascii="Arial" w:hAnsi="Arial" w:cs="Arial"/>
          <w:b/>
          <w:color w:val="000000"/>
          <w:sz w:val="22"/>
          <w:szCs w:val="22"/>
          <w:lang w:val="es-ES"/>
        </w:rPr>
        <w:t xml:space="preserve"> &amp; Cáceres,</w:t>
      </w:r>
      <w:r w:rsidR="00B16CE9" w:rsidRPr="002F2DD8">
        <w:rPr>
          <w:rFonts w:ascii="Arial" w:hAnsi="Arial" w:cs="Arial"/>
          <w:b/>
          <w:color w:val="000000"/>
          <w:sz w:val="22"/>
          <w:szCs w:val="22"/>
          <w:lang w:val="es-ES"/>
        </w:rPr>
        <w:t xml:space="preserve"> R</w:t>
      </w:r>
      <w:r w:rsidR="00B16CE9" w:rsidRPr="002F2DD8">
        <w:rPr>
          <w:rFonts w:ascii="Arial" w:hAnsi="Arial" w:cs="Arial"/>
          <w:color w:val="000000"/>
          <w:sz w:val="22"/>
          <w:szCs w:val="22"/>
          <w:lang w:val="es-ES"/>
        </w:rPr>
        <w:t>.,</w:t>
      </w:r>
      <w:r w:rsidRPr="002F2DD8">
        <w:rPr>
          <w:rFonts w:ascii="Arial" w:hAnsi="Arial" w:cs="Arial"/>
          <w:color w:val="000000"/>
          <w:sz w:val="22"/>
          <w:szCs w:val="22"/>
          <w:lang w:val="es-ES"/>
        </w:rPr>
        <w:t xml:space="preserve"> 2012. </w:t>
      </w:r>
      <w:r w:rsidR="003F6915" w:rsidRPr="002F2DD8">
        <w:rPr>
          <w:rFonts w:ascii="Arial" w:hAnsi="Arial" w:cs="Arial"/>
          <w:color w:val="000000"/>
          <w:sz w:val="22"/>
          <w:szCs w:val="22"/>
          <w:lang w:val="es-ES"/>
        </w:rPr>
        <w:t>“</w:t>
      </w:r>
      <w:r w:rsidRPr="002F2DD8">
        <w:rPr>
          <w:rFonts w:ascii="Arial" w:hAnsi="Arial" w:cs="Arial"/>
          <w:color w:val="000000"/>
          <w:sz w:val="22"/>
          <w:szCs w:val="22"/>
          <w:lang w:val="es-ES"/>
        </w:rPr>
        <w:t xml:space="preserve">Los modelos europeos de transferencia de tecnología Universidad </w:t>
      </w:r>
      <w:r w:rsidR="003F6915" w:rsidRPr="002F2DD8">
        <w:rPr>
          <w:rFonts w:ascii="Arial" w:hAnsi="Arial" w:cs="Arial"/>
          <w:color w:val="000000"/>
          <w:sz w:val="22"/>
          <w:szCs w:val="22"/>
          <w:lang w:val="es-ES"/>
        </w:rPr>
        <w:t>–</w:t>
      </w:r>
      <w:r w:rsidRPr="002F2DD8">
        <w:rPr>
          <w:rFonts w:ascii="Arial" w:hAnsi="Arial" w:cs="Arial"/>
          <w:color w:val="000000"/>
          <w:sz w:val="22"/>
          <w:szCs w:val="22"/>
          <w:lang w:val="es-ES"/>
        </w:rPr>
        <w:t xml:space="preserve"> Empresa</w:t>
      </w:r>
      <w:r w:rsidR="003F6915" w:rsidRPr="002F2DD8">
        <w:rPr>
          <w:rFonts w:ascii="Arial" w:hAnsi="Arial" w:cs="Arial"/>
          <w:color w:val="000000"/>
          <w:sz w:val="22"/>
          <w:szCs w:val="22"/>
          <w:lang w:val="es-ES"/>
        </w:rPr>
        <w:t>”</w:t>
      </w:r>
      <w:r w:rsidRPr="002F2DD8">
        <w:rPr>
          <w:rFonts w:ascii="Arial" w:hAnsi="Arial" w:cs="Arial"/>
          <w:color w:val="000000"/>
          <w:sz w:val="22"/>
          <w:szCs w:val="22"/>
          <w:lang w:val="es-ES"/>
        </w:rPr>
        <w:t>. Revista de Economía Mundial. 31, 2012</w:t>
      </w:r>
      <w:r w:rsidR="003F6915" w:rsidRPr="002F2DD8">
        <w:rPr>
          <w:rFonts w:ascii="Arial" w:hAnsi="Arial" w:cs="Arial"/>
          <w:color w:val="000000"/>
          <w:sz w:val="22"/>
          <w:szCs w:val="22"/>
          <w:lang w:val="es-ES"/>
        </w:rPr>
        <w:t xml:space="preserve">., </w:t>
      </w:r>
      <w:proofErr w:type="spellStart"/>
      <w:r w:rsidR="003F6915" w:rsidRPr="002F2DD8">
        <w:rPr>
          <w:rFonts w:ascii="Arial" w:hAnsi="Arial" w:cs="Arial"/>
          <w:color w:val="000000"/>
          <w:sz w:val="22"/>
          <w:szCs w:val="22"/>
          <w:lang w:val="es-ES"/>
        </w:rPr>
        <w:t>p</w:t>
      </w:r>
      <w:r w:rsidRPr="002F2DD8">
        <w:rPr>
          <w:rFonts w:ascii="Arial" w:hAnsi="Arial" w:cs="Arial"/>
          <w:color w:val="000000"/>
          <w:sz w:val="22"/>
          <w:szCs w:val="22"/>
          <w:lang w:val="es-ES"/>
        </w:rPr>
        <w:t>ag</w:t>
      </w:r>
      <w:proofErr w:type="spellEnd"/>
      <w:r w:rsidRPr="002F2DD8">
        <w:rPr>
          <w:rFonts w:ascii="Arial" w:hAnsi="Arial" w:cs="Arial"/>
          <w:color w:val="000000"/>
          <w:sz w:val="22"/>
          <w:szCs w:val="22"/>
          <w:lang w:val="es-ES"/>
        </w:rPr>
        <w:t>. 215 – 238</w:t>
      </w:r>
    </w:p>
    <w:p w14:paraId="2C9B1901" w14:textId="77777777" w:rsidR="00407089" w:rsidRPr="002F2DD8" w:rsidRDefault="00407089" w:rsidP="002F2DD8">
      <w:pPr>
        <w:pStyle w:val="Prrafodelista"/>
        <w:spacing w:after="200" w:line="360" w:lineRule="auto"/>
        <w:rPr>
          <w:rFonts w:ascii="Arial" w:hAnsi="Arial" w:cs="Arial"/>
          <w:color w:val="000000"/>
          <w:sz w:val="22"/>
          <w:szCs w:val="22"/>
          <w:lang w:val="es-ES"/>
        </w:rPr>
      </w:pPr>
      <w:r w:rsidRPr="002F2DD8">
        <w:rPr>
          <w:rFonts w:ascii="Arial" w:hAnsi="Arial" w:cs="Arial"/>
          <w:color w:val="000000"/>
          <w:sz w:val="22"/>
          <w:szCs w:val="22"/>
          <w:lang w:val="es-ES"/>
        </w:rPr>
        <w:br/>
      </w:r>
      <w:proofErr w:type="spellStart"/>
      <w:r w:rsidRPr="002F2DD8">
        <w:rPr>
          <w:rFonts w:ascii="Arial" w:hAnsi="Arial" w:cs="Arial"/>
          <w:b/>
          <w:color w:val="000000"/>
          <w:sz w:val="22"/>
          <w:szCs w:val="22"/>
          <w:lang w:val="es-ES"/>
        </w:rPr>
        <w:t>Beraza</w:t>
      </w:r>
      <w:proofErr w:type="spellEnd"/>
      <w:r w:rsidRPr="002F2DD8">
        <w:rPr>
          <w:rFonts w:ascii="Arial" w:hAnsi="Arial" w:cs="Arial"/>
          <w:b/>
          <w:color w:val="000000"/>
          <w:sz w:val="22"/>
          <w:szCs w:val="22"/>
          <w:lang w:val="es-ES"/>
        </w:rPr>
        <w:t>, J. &amp; Rodríguez, A.</w:t>
      </w:r>
      <w:r w:rsidRPr="002F2DD8">
        <w:rPr>
          <w:rFonts w:ascii="Arial" w:hAnsi="Arial" w:cs="Arial"/>
          <w:color w:val="000000"/>
          <w:sz w:val="22"/>
          <w:szCs w:val="22"/>
          <w:lang w:val="es-ES"/>
        </w:rPr>
        <w:t xml:space="preserve">, 2009. </w:t>
      </w:r>
      <w:r w:rsidR="003F6915" w:rsidRPr="002F2DD8">
        <w:rPr>
          <w:rFonts w:ascii="Arial" w:hAnsi="Arial" w:cs="Arial"/>
          <w:color w:val="000000"/>
          <w:sz w:val="22"/>
          <w:szCs w:val="22"/>
          <w:lang w:val="es-ES"/>
        </w:rPr>
        <w:t>“</w:t>
      </w:r>
      <w:r w:rsidRPr="002F2DD8">
        <w:rPr>
          <w:rFonts w:ascii="Arial" w:hAnsi="Arial" w:cs="Arial"/>
          <w:color w:val="000000"/>
          <w:sz w:val="22"/>
          <w:szCs w:val="22"/>
          <w:lang w:val="es-ES"/>
        </w:rPr>
        <w:t>La actividad de transferencia de conocimiento en la universidad española: Una comparación Internacional</w:t>
      </w:r>
      <w:r w:rsidR="003F6915" w:rsidRPr="002F2DD8">
        <w:rPr>
          <w:rFonts w:ascii="Arial" w:hAnsi="Arial" w:cs="Arial"/>
          <w:color w:val="000000"/>
          <w:sz w:val="22"/>
          <w:szCs w:val="22"/>
          <w:lang w:val="es-ES"/>
        </w:rPr>
        <w:t>”</w:t>
      </w:r>
      <w:r w:rsidRPr="002F2DD8">
        <w:rPr>
          <w:rFonts w:ascii="Arial" w:hAnsi="Arial" w:cs="Arial"/>
          <w:color w:val="000000"/>
          <w:sz w:val="22"/>
          <w:szCs w:val="22"/>
          <w:lang w:val="es-ES"/>
        </w:rPr>
        <w:t xml:space="preserve">. Boletín económico de ICE, Información Comercial Española. Número 2979, </w:t>
      </w:r>
      <w:proofErr w:type="spellStart"/>
      <w:r w:rsidRPr="002F2DD8">
        <w:rPr>
          <w:rFonts w:ascii="Arial" w:hAnsi="Arial" w:cs="Arial"/>
          <w:color w:val="000000"/>
          <w:sz w:val="22"/>
          <w:szCs w:val="22"/>
          <w:lang w:val="es-ES"/>
        </w:rPr>
        <w:t>pag</w:t>
      </w:r>
      <w:proofErr w:type="spellEnd"/>
      <w:r w:rsidRPr="002F2DD8">
        <w:rPr>
          <w:rFonts w:ascii="Arial" w:hAnsi="Arial" w:cs="Arial"/>
          <w:color w:val="000000"/>
          <w:sz w:val="22"/>
          <w:szCs w:val="22"/>
          <w:lang w:val="es-ES"/>
        </w:rPr>
        <w:t>. 33-46</w:t>
      </w:r>
    </w:p>
    <w:p w14:paraId="551B11D4" w14:textId="77777777" w:rsidR="00407089" w:rsidRPr="002F2DD8" w:rsidRDefault="00407089" w:rsidP="002F2DD8">
      <w:pPr>
        <w:pStyle w:val="Prrafodelista"/>
        <w:spacing w:after="200" w:line="360" w:lineRule="auto"/>
        <w:rPr>
          <w:rFonts w:ascii="Arial" w:hAnsi="Arial" w:cs="Arial"/>
          <w:color w:val="000000"/>
          <w:sz w:val="22"/>
          <w:szCs w:val="22"/>
          <w:lang w:val="es-ES"/>
        </w:rPr>
      </w:pPr>
    </w:p>
    <w:p w14:paraId="0A87E363" w14:textId="77777777" w:rsidR="00407089" w:rsidRPr="00023A84" w:rsidRDefault="00407089" w:rsidP="002F2DD8">
      <w:pPr>
        <w:pStyle w:val="Prrafodelista"/>
        <w:spacing w:after="200" w:line="360" w:lineRule="auto"/>
        <w:rPr>
          <w:rFonts w:ascii="Arial" w:hAnsi="Arial" w:cs="Arial"/>
          <w:color w:val="000000"/>
          <w:sz w:val="22"/>
          <w:szCs w:val="22"/>
          <w:lang w:val="es-PE"/>
        </w:rPr>
      </w:pPr>
      <w:r w:rsidRPr="00023A84">
        <w:rPr>
          <w:rFonts w:ascii="Arial" w:hAnsi="Arial" w:cs="Arial"/>
          <w:b/>
          <w:color w:val="000000"/>
          <w:sz w:val="22"/>
          <w:szCs w:val="22"/>
          <w:lang w:val="es-PE"/>
        </w:rPr>
        <w:t>Comisión Europea, 2004</w:t>
      </w:r>
      <w:r w:rsidRPr="00023A84">
        <w:rPr>
          <w:rFonts w:ascii="Arial" w:hAnsi="Arial" w:cs="Arial"/>
          <w:color w:val="000000"/>
          <w:sz w:val="22"/>
          <w:szCs w:val="22"/>
          <w:lang w:val="es-PE"/>
        </w:rPr>
        <w:t xml:space="preserve">.  </w:t>
      </w:r>
      <w:r w:rsidR="003F6915" w:rsidRPr="002F2DD8">
        <w:rPr>
          <w:rFonts w:ascii="Arial" w:hAnsi="Arial" w:cs="Arial"/>
          <w:color w:val="000000"/>
          <w:sz w:val="22"/>
          <w:szCs w:val="22"/>
          <w:lang w:val="en-US"/>
        </w:rPr>
        <w:t>“</w:t>
      </w:r>
      <w:r w:rsidRPr="002F2DD8">
        <w:rPr>
          <w:rFonts w:ascii="Arial" w:hAnsi="Arial" w:cs="Arial"/>
          <w:color w:val="000000"/>
          <w:sz w:val="22"/>
          <w:szCs w:val="22"/>
          <w:lang w:val="en-US"/>
        </w:rPr>
        <w:t xml:space="preserve">Improving Institutions for the transfer of technology from Science to Enterprise. </w:t>
      </w:r>
      <w:proofErr w:type="spellStart"/>
      <w:r w:rsidRPr="00023A84">
        <w:rPr>
          <w:rFonts w:ascii="Arial" w:hAnsi="Arial" w:cs="Arial"/>
          <w:color w:val="000000"/>
          <w:sz w:val="22"/>
          <w:szCs w:val="22"/>
          <w:lang w:val="es-PE"/>
        </w:rPr>
        <w:t>Technology</w:t>
      </w:r>
      <w:proofErr w:type="spellEnd"/>
      <w:r w:rsidRPr="00023A84">
        <w:rPr>
          <w:rFonts w:ascii="Arial" w:hAnsi="Arial" w:cs="Arial"/>
          <w:color w:val="000000"/>
          <w:sz w:val="22"/>
          <w:szCs w:val="22"/>
          <w:lang w:val="es-PE"/>
        </w:rPr>
        <w:t xml:space="preserve"> Transfer in </w:t>
      </w:r>
      <w:proofErr w:type="spellStart"/>
      <w:r w:rsidRPr="00023A84">
        <w:rPr>
          <w:rFonts w:ascii="Arial" w:hAnsi="Arial" w:cs="Arial"/>
          <w:color w:val="000000"/>
          <w:sz w:val="22"/>
          <w:szCs w:val="22"/>
          <w:lang w:val="es-PE"/>
        </w:rPr>
        <w:t>Europe</w:t>
      </w:r>
      <w:proofErr w:type="spellEnd"/>
      <w:r w:rsidRPr="00023A84">
        <w:rPr>
          <w:rFonts w:ascii="Arial" w:hAnsi="Arial" w:cs="Arial"/>
          <w:color w:val="000000"/>
          <w:sz w:val="22"/>
          <w:szCs w:val="22"/>
          <w:lang w:val="es-PE"/>
        </w:rPr>
        <w:t xml:space="preserve">. </w:t>
      </w:r>
      <w:proofErr w:type="spellStart"/>
      <w:r w:rsidRPr="00023A84">
        <w:rPr>
          <w:rFonts w:ascii="Arial" w:hAnsi="Arial" w:cs="Arial"/>
          <w:color w:val="000000"/>
          <w:sz w:val="22"/>
          <w:szCs w:val="22"/>
          <w:lang w:val="es-PE"/>
        </w:rPr>
        <w:t>An</w:t>
      </w:r>
      <w:proofErr w:type="spellEnd"/>
      <w:r w:rsidRPr="00023A84">
        <w:rPr>
          <w:rFonts w:ascii="Arial" w:hAnsi="Arial" w:cs="Arial"/>
          <w:color w:val="000000"/>
          <w:sz w:val="22"/>
          <w:szCs w:val="22"/>
          <w:lang w:val="es-PE"/>
        </w:rPr>
        <w:t xml:space="preserve"> </w:t>
      </w:r>
      <w:proofErr w:type="spellStart"/>
      <w:r w:rsidRPr="00023A84">
        <w:rPr>
          <w:rFonts w:ascii="Arial" w:hAnsi="Arial" w:cs="Arial"/>
          <w:color w:val="000000"/>
          <w:sz w:val="22"/>
          <w:szCs w:val="22"/>
          <w:lang w:val="es-PE"/>
        </w:rPr>
        <w:t>Overview</w:t>
      </w:r>
      <w:proofErr w:type="spellEnd"/>
      <w:r w:rsidR="003F6915" w:rsidRPr="00023A84">
        <w:rPr>
          <w:rFonts w:ascii="Arial" w:hAnsi="Arial" w:cs="Arial"/>
          <w:color w:val="000000"/>
          <w:sz w:val="22"/>
          <w:szCs w:val="22"/>
          <w:lang w:val="es-PE"/>
        </w:rPr>
        <w:t>”</w:t>
      </w:r>
      <w:r w:rsidRPr="00023A84">
        <w:rPr>
          <w:rFonts w:ascii="Arial" w:hAnsi="Arial" w:cs="Arial"/>
          <w:color w:val="000000"/>
          <w:sz w:val="22"/>
          <w:szCs w:val="22"/>
          <w:lang w:val="es-PE"/>
        </w:rPr>
        <w:t xml:space="preserve">. </w:t>
      </w:r>
      <w:proofErr w:type="spellStart"/>
      <w:r w:rsidRPr="00023A84">
        <w:rPr>
          <w:rFonts w:ascii="Arial" w:hAnsi="Arial" w:cs="Arial"/>
          <w:color w:val="000000"/>
          <w:sz w:val="22"/>
          <w:szCs w:val="22"/>
          <w:lang w:val="es-PE"/>
        </w:rPr>
        <w:t>Comision</w:t>
      </w:r>
      <w:proofErr w:type="spellEnd"/>
      <w:r w:rsidRPr="00023A84">
        <w:rPr>
          <w:rFonts w:ascii="Arial" w:hAnsi="Arial" w:cs="Arial"/>
          <w:color w:val="000000"/>
          <w:sz w:val="22"/>
          <w:szCs w:val="22"/>
          <w:lang w:val="es-PE"/>
        </w:rPr>
        <w:t xml:space="preserve"> Europea, Dirección General de Empresa, Bruselas.</w:t>
      </w:r>
    </w:p>
    <w:p w14:paraId="1A2AF9A0" w14:textId="77777777" w:rsidR="00407089" w:rsidRPr="00023A84" w:rsidRDefault="00407089" w:rsidP="002F2DD8">
      <w:pPr>
        <w:pStyle w:val="Prrafodelista"/>
        <w:spacing w:after="200" w:line="360" w:lineRule="auto"/>
        <w:rPr>
          <w:rFonts w:ascii="Arial" w:hAnsi="Arial" w:cs="Arial"/>
          <w:color w:val="000000"/>
          <w:sz w:val="22"/>
          <w:szCs w:val="22"/>
          <w:lang w:val="es-PE"/>
        </w:rPr>
      </w:pPr>
    </w:p>
    <w:p w14:paraId="7DB72C7D" w14:textId="77777777" w:rsidR="00407089" w:rsidRPr="00023A84" w:rsidRDefault="00407089" w:rsidP="002F2DD8">
      <w:pPr>
        <w:pStyle w:val="Prrafodelista"/>
        <w:spacing w:after="200" w:line="360" w:lineRule="auto"/>
        <w:rPr>
          <w:rFonts w:ascii="Arial" w:hAnsi="Arial" w:cs="Arial"/>
          <w:color w:val="000000"/>
          <w:sz w:val="22"/>
          <w:szCs w:val="22"/>
          <w:lang w:val="es-PE"/>
        </w:rPr>
      </w:pPr>
      <w:r w:rsidRPr="00023A84">
        <w:rPr>
          <w:rFonts w:ascii="Arial" w:hAnsi="Arial" w:cs="Arial"/>
          <w:b/>
          <w:color w:val="000000"/>
          <w:sz w:val="22"/>
          <w:szCs w:val="22"/>
          <w:lang w:val="es-PE"/>
        </w:rPr>
        <w:t>Comisión Europea, 2004</w:t>
      </w:r>
      <w:r w:rsidR="003F6915" w:rsidRPr="00023A84">
        <w:rPr>
          <w:rFonts w:ascii="Arial" w:hAnsi="Arial" w:cs="Arial"/>
          <w:b/>
          <w:color w:val="000000"/>
          <w:sz w:val="22"/>
          <w:szCs w:val="22"/>
          <w:lang w:val="es-PE"/>
        </w:rPr>
        <w:t>.</w:t>
      </w:r>
      <w:r w:rsidRPr="00023A84">
        <w:rPr>
          <w:rFonts w:ascii="Arial" w:hAnsi="Arial" w:cs="Arial"/>
          <w:color w:val="000000"/>
          <w:sz w:val="22"/>
          <w:szCs w:val="22"/>
          <w:lang w:val="es-PE"/>
        </w:rPr>
        <w:t xml:space="preserve"> </w:t>
      </w:r>
      <w:r w:rsidR="003F6915" w:rsidRPr="002F2DD8">
        <w:rPr>
          <w:rFonts w:ascii="Arial" w:hAnsi="Arial" w:cs="Arial"/>
          <w:color w:val="000000"/>
          <w:sz w:val="22"/>
          <w:szCs w:val="22"/>
          <w:lang w:val="en-US"/>
        </w:rPr>
        <w:t>“</w:t>
      </w:r>
      <w:r w:rsidRPr="002F2DD8">
        <w:rPr>
          <w:rFonts w:ascii="Arial" w:hAnsi="Arial" w:cs="Arial"/>
          <w:color w:val="000000"/>
          <w:sz w:val="22"/>
          <w:szCs w:val="22"/>
          <w:lang w:val="en-US"/>
        </w:rPr>
        <w:t xml:space="preserve">Improving Institutions for the transfer of technology from Science to Enterprise. </w:t>
      </w:r>
      <w:proofErr w:type="spellStart"/>
      <w:r w:rsidRPr="00023A84">
        <w:rPr>
          <w:rFonts w:ascii="Arial" w:hAnsi="Arial" w:cs="Arial"/>
          <w:color w:val="000000"/>
          <w:sz w:val="22"/>
          <w:szCs w:val="22"/>
          <w:lang w:val="es-PE"/>
        </w:rPr>
        <w:t>Technology</w:t>
      </w:r>
      <w:proofErr w:type="spellEnd"/>
      <w:r w:rsidRPr="00023A84">
        <w:rPr>
          <w:rFonts w:ascii="Arial" w:hAnsi="Arial" w:cs="Arial"/>
          <w:color w:val="000000"/>
          <w:sz w:val="22"/>
          <w:szCs w:val="22"/>
          <w:lang w:val="es-PE"/>
        </w:rPr>
        <w:t xml:space="preserve"> Transfer in </w:t>
      </w:r>
      <w:proofErr w:type="spellStart"/>
      <w:r w:rsidRPr="00023A84">
        <w:rPr>
          <w:rFonts w:ascii="Arial" w:hAnsi="Arial" w:cs="Arial"/>
          <w:color w:val="000000"/>
          <w:sz w:val="22"/>
          <w:szCs w:val="22"/>
          <w:lang w:val="es-PE"/>
        </w:rPr>
        <w:t>Europe</w:t>
      </w:r>
      <w:proofErr w:type="spellEnd"/>
      <w:r w:rsidRPr="00023A84">
        <w:rPr>
          <w:rFonts w:ascii="Arial" w:hAnsi="Arial" w:cs="Arial"/>
          <w:color w:val="000000"/>
          <w:sz w:val="22"/>
          <w:szCs w:val="22"/>
          <w:lang w:val="es-PE"/>
        </w:rPr>
        <w:t xml:space="preserve">. </w:t>
      </w:r>
      <w:proofErr w:type="spellStart"/>
      <w:r w:rsidRPr="00023A84">
        <w:rPr>
          <w:rFonts w:ascii="Arial" w:hAnsi="Arial" w:cs="Arial"/>
          <w:color w:val="000000"/>
          <w:sz w:val="22"/>
          <w:szCs w:val="22"/>
          <w:lang w:val="es-PE"/>
        </w:rPr>
        <w:t>Expert</w:t>
      </w:r>
      <w:proofErr w:type="spellEnd"/>
      <w:r w:rsidRPr="00023A84">
        <w:rPr>
          <w:rFonts w:ascii="Arial" w:hAnsi="Arial" w:cs="Arial"/>
          <w:color w:val="000000"/>
          <w:sz w:val="22"/>
          <w:szCs w:val="22"/>
          <w:lang w:val="es-PE"/>
        </w:rPr>
        <w:t xml:space="preserve"> </w:t>
      </w:r>
      <w:proofErr w:type="spellStart"/>
      <w:r w:rsidRPr="00023A84">
        <w:rPr>
          <w:rFonts w:ascii="Arial" w:hAnsi="Arial" w:cs="Arial"/>
          <w:color w:val="000000"/>
          <w:sz w:val="22"/>
          <w:szCs w:val="22"/>
          <w:lang w:val="es-PE"/>
        </w:rPr>
        <w:t>Group</w:t>
      </w:r>
      <w:proofErr w:type="spellEnd"/>
      <w:r w:rsidRPr="00023A84">
        <w:rPr>
          <w:rFonts w:ascii="Arial" w:hAnsi="Arial" w:cs="Arial"/>
          <w:color w:val="000000"/>
          <w:sz w:val="22"/>
          <w:szCs w:val="22"/>
          <w:lang w:val="es-PE"/>
        </w:rPr>
        <w:t xml:space="preserve"> </w:t>
      </w:r>
      <w:proofErr w:type="spellStart"/>
      <w:r w:rsidRPr="00023A84">
        <w:rPr>
          <w:rFonts w:ascii="Arial" w:hAnsi="Arial" w:cs="Arial"/>
          <w:color w:val="000000"/>
          <w:sz w:val="22"/>
          <w:szCs w:val="22"/>
          <w:lang w:val="es-PE"/>
        </w:rPr>
        <w:t>Report</w:t>
      </w:r>
      <w:proofErr w:type="spellEnd"/>
      <w:r w:rsidR="003F6915" w:rsidRPr="00023A84">
        <w:rPr>
          <w:rFonts w:ascii="Arial" w:hAnsi="Arial" w:cs="Arial"/>
          <w:color w:val="000000"/>
          <w:sz w:val="22"/>
          <w:szCs w:val="22"/>
          <w:lang w:val="es-PE"/>
        </w:rPr>
        <w:t>”.</w:t>
      </w:r>
    </w:p>
    <w:p w14:paraId="7732AE8B" w14:textId="77777777" w:rsidR="00407089" w:rsidRPr="002F2DD8" w:rsidRDefault="00407089" w:rsidP="002F2DD8">
      <w:pPr>
        <w:pStyle w:val="Prrafodelista"/>
        <w:spacing w:after="200" w:line="360" w:lineRule="auto"/>
        <w:rPr>
          <w:rFonts w:ascii="Arial" w:hAnsi="Arial" w:cs="Arial"/>
          <w:color w:val="000000"/>
          <w:sz w:val="22"/>
          <w:szCs w:val="22"/>
          <w:lang w:val="es-ES"/>
        </w:rPr>
      </w:pPr>
      <w:proofErr w:type="spellStart"/>
      <w:r w:rsidRPr="002F2DD8">
        <w:rPr>
          <w:rFonts w:ascii="Arial" w:hAnsi="Arial" w:cs="Arial"/>
          <w:color w:val="000000"/>
          <w:sz w:val="22"/>
          <w:szCs w:val="22"/>
          <w:lang w:val="es-ES"/>
        </w:rPr>
        <w:t>Comision</w:t>
      </w:r>
      <w:proofErr w:type="spellEnd"/>
      <w:r w:rsidRPr="002F2DD8">
        <w:rPr>
          <w:rFonts w:ascii="Arial" w:hAnsi="Arial" w:cs="Arial"/>
          <w:color w:val="000000"/>
          <w:sz w:val="22"/>
          <w:szCs w:val="22"/>
          <w:lang w:val="es-ES"/>
        </w:rPr>
        <w:t xml:space="preserve"> Europea, Dirección General de Empresa, Bruselas.</w:t>
      </w:r>
    </w:p>
    <w:p w14:paraId="6E5F0381" w14:textId="77777777" w:rsidR="00B16CE9" w:rsidRPr="002F2DD8" w:rsidRDefault="00B16CE9" w:rsidP="002F2DD8">
      <w:pPr>
        <w:pStyle w:val="Prrafodelista"/>
        <w:spacing w:after="200" w:line="360" w:lineRule="auto"/>
        <w:rPr>
          <w:rFonts w:ascii="Arial" w:hAnsi="Arial" w:cs="Arial"/>
          <w:color w:val="000000"/>
          <w:sz w:val="22"/>
          <w:szCs w:val="22"/>
          <w:lang w:val="es-ES"/>
        </w:rPr>
      </w:pPr>
    </w:p>
    <w:p w14:paraId="4E165330" w14:textId="77777777" w:rsidR="00B16CE9" w:rsidRPr="002F2DD8" w:rsidRDefault="00B16CE9" w:rsidP="002F2DD8">
      <w:pPr>
        <w:pStyle w:val="Prrafodelista"/>
        <w:spacing w:after="200" w:line="360" w:lineRule="auto"/>
        <w:rPr>
          <w:rFonts w:ascii="Arial" w:hAnsi="Arial" w:cs="Arial"/>
          <w:color w:val="000000"/>
          <w:sz w:val="22"/>
          <w:szCs w:val="22"/>
          <w:lang w:val="es-ES"/>
        </w:rPr>
      </w:pPr>
      <w:r w:rsidRPr="00023A84">
        <w:rPr>
          <w:rFonts w:ascii="Arial" w:hAnsi="Arial" w:cs="Arial"/>
          <w:b/>
          <w:color w:val="000000"/>
          <w:sz w:val="22"/>
          <w:szCs w:val="22"/>
          <w:lang w:val="es-PE"/>
        </w:rPr>
        <w:t>CONCYTEC,</w:t>
      </w:r>
      <w:r w:rsidRPr="00023A84">
        <w:rPr>
          <w:rFonts w:ascii="Arial" w:hAnsi="Arial" w:cs="Arial"/>
          <w:color w:val="000000"/>
          <w:sz w:val="22"/>
          <w:szCs w:val="22"/>
          <w:lang w:val="es-PE"/>
        </w:rPr>
        <w:t xml:space="preserve"> 2006. </w:t>
      </w:r>
      <w:r w:rsidR="003F6915" w:rsidRPr="002F2DD8">
        <w:rPr>
          <w:rFonts w:ascii="Arial" w:hAnsi="Arial" w:cs="Arial"/>
          <w:color w:val="000000"/>
          <w:sz w:val="22"/>
          <w:szCs w:val="22"/>
          <w:lang w:val="es-ES"/>
        </w:rPr>
        <w:t>“</w:t>
      </w:r>
      <w:r w:rsidRPr="002F2DD8">
        <w:rPr>
          <w:rFonts w:ascii="Arial" w:hAnsi="Arial" w:cs="Arial"/>
          <w:color w:val="000000"/>
          <w:sz w:val="22"/>
          <w:szCs w:val="22"/>
          <w:lang w:val="es-ES"/>
        </w:rPr>
        <w:t xml:space="preserve">Plan Nacional Estratégico de Ciencia, Tecnología e Innovación para la Competitividad y el Desarrollo Humano – PNCTI 2006 – </w:t>
      </w:r>
      <w:smartTag w:uri="urn:schemas-microsoft-com:office:smarttags" w:element="metricconverter">
        <w:smartTagPr>
          <w:attr w:name="ProductID" w:val="2021”"/>
        </w:smartTagPr>
        <w:r w:rsidRPr="002F2DD8">
          <w:rPr>
            <w:rFonts w:ascii="Arial" w:hAnsi="Arial" w:cs="Arial"/>
            <w:color w:val="000000"/>
            <w:sz w:val="22"/>
            <w:szCs w:val="22"/>
            <w:lang w:val="es-ES"/>
          </w:rPr>
          <w:t>2021</w:t>
        </w:r>
        <w:r w:rsidR="003F6915" w:rsidRPr="002F2DD8">
          <w:rPr>
            <w:rFonts w:ascii="Arial" w:hAnsi="Arial" w:cs="Arial"/>
            <w:color w:val="000000"/>
            <w:sz w:val="22"/>
            <w:szCs w:val="22"/>
            <w:lang w:val="es-ES"/>
          </w:rPr>
          <w:t>”</w:t>
        </w:r>
      </w:smartTag>
      <w:r w:rsidRPr="002F2DD8">
        <w:rPr>
          <w:rFonts w:ascii="Arial" w:hAnsi="Arial" w:cs="Arial"/>
          <w:color w:val="000000"/>
          <w:sz w:val="22"/>
          <w:szCs w:val="22"/>
          <w:lang w:val="es-ES"/>
        </w:rPr>
        <w:t>.</w:t>
      </w:r>
    </w:p>
    <w:p w14:paraId="498244DC" w14:textId="77777777" w:rsidR="00B16CE9" w:rsidRPr="002F2DD8" w:rsidRDefault="00B16CE9" w:rsidP="002F2DD8">
      <w:pPr>
        <w:pStyle w:val="Prrafodelista"/>
        <w:spacing w:after="200" w:line="360" w:lineRule="auto"/>
        <w:rPr>
          <w:rFonts w:ascii="Arial" w:hAnsi="Arial" w:cs="Arial"/>
          <w:color w:val="000000"/>
          <w:sz w:val="22"/>
          <w:szCs w:val="22"/>
          <w:lang w:val="es-ES"/>
        </w:rPr>
      </w:pPr>
    </w:p>
    <w:p w14:paraId="25987F65" w14:textId="77777777" w:rsidR="00B16CE9" w:rsidRPr="002F2DD8" w:rsidRDefault="00B16CE9" w:rsidP="002F2DD8">
      <w:pPr>
        <w:pStyle w:val="Prrafodelista"/>
        <w:spacing w:after="200" w:line="360" w:lineRule="auto"/>
        <w:rPr>
          <w:rFonts w:ascii="Arial" w:hAnsi="Arial" w:cs="Arial"/>
          <w:color w:val="000000"/>
          <w:sz w:val="22"/>
          <w:szCs w:val="22"/>
          <w:lang w:val="es-ES"/>
        </w:rPr>
      </w:pPr>
      <w:r w:rsidRPr="002F2DD8">
        <w:rPr>
          <w:rFonts w:ascii="Arial" w:hAnsi="Arial" w:cs="Arial"/>
          <w:b/>
          <w:color w:val="000000"/>
          <w:sz w:val="22"/>
          <w:szCs w:val="22"/>
          <w:lang w:val="es-ES"/>
        </w:rPr>
        <w:t>INDECOPI</w:t>
      </w:r>
      <w:r w:rsidRPr="002F2DD8">
        <w:rPr>
          <w:rFonts w:ascii="Arial" w:hAnsi="Arial" w:cs="Arial"/>
          <w:color w:val="000000"/>
          <w:sz w:val="22"/>
          <w:szCs w:val="22"/>
          <w:lang w:val="es-ES"/>
        </w:rPr>
        <w:t xml:space="preserve">, 2009. </w:t>
      </w:r>
      <w:r w:rsidR="003F6915" w:rsidRPr="002F2DD8">
        <w:rPr>
          <w:rFonts w:ascii="Arial" w:hAnsi="Arial" w:cs="Arial"/>
          <w:color w:val="000000"/>
          <w:sz w:val="22"/>
          <w:szCs w:val="22"/>
          <w:lang w:val="es-ES"/>
        </w:rPr>
        <w:t>“</w:t>
      </w:r>
      <w:r w:rsidRPr="002F2DD8">
        <w:rPr>
          <w:rFonts w:ascii="Arial" w:hAnsi="Arial" w:cs="Arial"/>
          <w:iCs/>
          <w:color w:val="000000"/>
          <w:sz w:val="22"/>
          <w:szCs w:val="22"/>
        </w:rPr>
        <w:t xml:space="preserve">Norma técnica peruana NTP 732.001 2009. Gestión de la </w:t>
      </w:r>
      <w:proofErr w:type="spellStart"/>
      <w:r w:rsidRPr="002F2DD8">
        <w:rPr>
          <w:rFonts w:ascii="Arial" w:hAnsi="Arial" w:cs="Arial"/>
          <w:iCs/>
          <w:color w:val="000000"/>
          <w:sz w:val="22"/>
          <w:szCs w:val="22"/>
        </w:rPr>
        <w:t>I+D+i</w:t>
      </w:r>
      <w:proofErr w:type="spellEnd"/>
      <w:r w:rsidRPr="002F2DD8">
        <w:rPr>
          <w:rFonts w:ascii="Arial" w:hAnsi="Arial" w:cs="Arial"/>
          <w:iCs/>
          <w:color w:val="000000"/>
          <w:sz w:val="22"/>
          <w:szCs w:val="22"/>
        </w:rPr>
        <w:t xml:space="preserve">. Terminología y definiciones de las actividades de </w:t>
      </w:r>
      <w:proofErr w:type="spellStart"/>
      <w:r w:rsidRPr="002F2DD8">
        <w:rPr>
          <w:rFonts w:ascii="Arial" w:hAnsi="Arial" w:cs="Arial"/>
          <w:iCs/>
          <w:color w:val="000000"/>
          <w:sz w:val="22"/>
          <w:szCs w:val="22"/>
        </w:rPr>
        <w:t>I+D+i</w:t>
      </w:r>
      <w:proofErr w:type="spellEnd"/>
      <w:r w:rsidR="003F6915" w:rsidRPr="002F2DD8">
        <w:rPr>
          <w:rFonts w:ascii="Arial" w:hAnsi="Arial" w:cs="Arial"/>
          <w:iCs/>
          <w:color w:val="000000"/>
          <w:sz w:val="22"/>
          <w:szCs w:val="22"/>
        </w:rPr>
        <w:t>”</w:t>
      </w:r>
      <w:r w:rsidRPr="002F2DD8">
        <w:rPr>
          <w:rFonts w:ascii="Arial" w:hAnsi="Arial" w:cs="Arial"/>
          <w:color w:val="000000"/>
          <w:sz w:val="22"/>
          <w:szCs w:val="22"/>
        </w:rPr>
        <w:t>. Comisión de normalización y de fiscalización de barreras comerciales no arancelarias.</w:t>
      </w:r>
      <w:r w:rsidR="00407089" w:rsidRPr="002F2DD8">
        <w:rPr>
          <w:rFonts w:ascii="Arial" w:hAnsi="Arial" w:cs="Arial"/>
          <w:color w:val="000000"/>
          <w:sz w:val="22"/>
          <w:szCs w:val="22"/>
          <w:lang w:val="es-ES"/>
        </w:rPr>
        <w:br/>
      </w:r>
    </w:p>
    <w:p w14:paraId="665C0681" w14:textId="77777777" w:rsidR="00630B09" w:rsidRPr="00023A84" w:rsidRDefault="00630B09" w:rsidP="002F2DD8">
      <w:pPr>
        <w:pStyle w:val="Prrafodelista"/>
        <w:spacing w:after="200" w:line="360" w:lineRule="auto"/>
        <w:rPr>
          <w:rFonts w:ascii="Arial" w:hAnsi="Arial" w:cs="Arial"/>
          <w:b/>
          <w:color w:val="000000"/>
          <w:sz w:val="22"/>
          <w:szCs w:val="22"/>
          <w:lang w:val="es-PE"/>
        </w:rPr>
      </w:pPr>
      <w:proofErr w:type="spellStart"/>
      <w:r w:rsidRPr="002F2DD8">
        <w:rPr>
          <w:rFonts w:ascii="Arial" w:hAnsi="Arial" w:cs="Arial"/>
          <w:b/>
          <w:color w:val="000000"/>
          <w:sz w:val="22"/>
          <w:szCs w:val="22"/>
          <w:lang w:val="en-US"/>
        </w:rPr>
        <w:lastRenderedPageBreak/>
        <w:t>Litan</w:t>
      </w:r>
      <w:proofErr w:type="spellEnd"/>
      <w:r w:rsidRPr="002F2DD8">
        <w:rPr>
          <w:rFonts w:ascii="Arial" w:hAnsi="Arial" w:cs="Arial"/>
          <w:b/>
          <w:color w:val="000000"/>
          <w:sz w:val="22"/>
          <w:szCs w:val="22"/>
          <w:lang w:val="en-US"/>
        </w:rPr>
        <w:t>, R., L. Mitchell, E.J. Reedy. 2007. “</w:t>
      </w:r>
      <w:r w:rsidRPr="002F2DD8">
        <w:rPr>
          <w:rFonts w:ascii="Arial" w:hAnsi="Arial" w:cs="Arial"/>
          <w:color w:val="000000"/>
          <w:sz w:val="22"/>
          <w:szCs w:val="22"/>
          <w:lang w:val="en-US"/>
        </w:rPr>
        <w:t xml:space="preserve">Commercializing University Innovations: Alternative Approaches.” </w:t>
      </w:r>
      <w:r w:rsidRPr="00023A84">
        <w:rPr>
          <w:rFonts w:ascii="Arial" w:hAnsi="Arial" w:cs="Arial"/>
          <w:color w:val="000000"/>
          <w:sz w:val="22"/>
          <w:szCs w:val="22"/>
          <w:lang w:val="es-PE"/>
        </w:rPr>
        <w:t xml:space="preserve">NBER </w:t>
      </w:r>
      <w:proofErr w:type="spellStart"/>
      <w:r w:rsidRPr="00023A84">
        <w:rPr>
          <w:rFonts w:ascii="Arial" w:hAnsi="Arial" w:cs="Arial"/>
          <w:color w:val="000000"/>
          <w:sz w:val="22"/>
          <w:szCs w:val="22"/>
          <w:lang w:val="es-PE"/>
        </w:rPr>
        <w:t>Working</w:t>
      </w:r>
      <w:proofErr w:type="spellEnd"/>
      <w:r w:rsidRPr="00023A84">
        <w:rPr>
          <w:rFonts w:ascii="Arial" w:hAnsi="Arial" w:cs="Arial"/>
          <w:color w:val="000000"/>
          <w:sz w:val="22"/>
          <w:szCs w:val="22"/>
          <w:lang w:val="es-PE"/>
        </w:rPr>
        <w:t xml:space="preserve"> </w:t>
      </w:r>
      <w:proofErr w:type="spellStart"/>
      <w:r w:rsidRPr="00023A84">
        <w:rPr>
          <w:rFonts w:ascii="Arial" w:hAnsi="Arial" w:cs="Arial"/>
          <w:color w:val="000000"/>
          <w:sz w:val="22"/>
          <w:szCs w:val="22"/>
          <w:lang w:val="es-PE"/>
        </w:rPr>
        <w:t>Paper</w:t>
      </w:r>
      <w:proofErr w:type="spellEnd"/>
      <w:r w:rsidRPr="00023A84">
        <w:rPr>
          <w:rFonts w:ascii="Arial" w:hAnsi="Arial" w:cs="Arial"/>
          <w:color w:val="000000"/>
          <w:sz w:val="22"/>
          <w:szCs w:val="22"/>
          <w:lang w:val="es-PE"/>
        </w:rPr>
        <w:t xml:space="preserve"> </w:t>
      </w:r>
      <w:r w:rsidRPr="00023A84">
        <w:rPr>
          <w:rFonts w:ascii="Arial" w:hAnsi="Arial" w:cs="Arial"/>
          <w:color w:val="000000"/>
          <w:sz w:val="22"/>
          <w:szCs w:val="22"/>
          <w:lang w:val="es-PE"/>
        </w:rPr>
        <w:cr/>
      </w:r>
      <w:r w:rsidRPr="00023A84">
        <w:rPr>
          <w:rFonts w:ascii="Arial" w:hAnsi="Arial" w:cs="Arial"/>
          <w:b/>
          <w:color w:val="000000"/>
          <w:sz w:val="22"/>
          <w:szCs w:val="22"/>
          <w:lang w:val="es-PE"/>
        </w:rPr>
        <w:t xml:space="preserve"> </w:t>
      </w:r>
    </w:p>
    <w:p w14:paraId="73726145" w14:textId="77777777" w:rsidR="00407089" w:rsidRPr="002F2DD8" w:rsidRDefault="00407089" w:rsidP="002F2DD8">
      <w:pPr>
        <w:pStyle w:val="Prrafodelista"/>
        <w:spacing w:after="200" w:line="360" w:lineRule="auto"/>
        <w:rPr>
          <w:rFonts w:ascii="Arial" w:hAnsi="Arial" w:cs="Arial"/>
          <w:color w:val="000000"/>
          <w:sz w:val="22"/>
          <w:szCs w:val="22"/>
          <w:lang w:val="es-ES"/>
        </w:rPr>
      </w:pPr>
      <w:proofErr w:type="spellStart"/>
      <w:r w:rsidRPr="00023A84">
        <w:rPr>
          <w:rFonts w:ascii="Arial" w:hAnsi="Arial" w:cs="Arial"/>
          <w:b/>
          <w:color w:val="000000"/>
          <w:sz w:val="22"/>
          <w:szCs w:val="22"/>
          <w:lang w:val="es-PE"/>
        </w:rPr>
        <w:t>Manderieux</w:t>
      </w:r>
      <w:proofErr w:type="spellEnd"/>
      <w:r w:rsidRPr="00023A84">
        <w:rPr>
          <w:rFonts w:ascii="Arial" w:hAnsi="Arial" w:cs="Arial"/>
          <w:b/>
          <w:color w:val="000000"/>
          <w:sz w:val="22"/>
          <w:szCs w:val="22"/>
          <w:lang w:val="es-PE"/>
        </w:rPr>
        <w:t>, L.,</w:t>
      </w:r>
      <w:r w:rsidRPr="00023A84">
        <w:rPr>
          <w:rFonts w:ascii="Arial" w:hAnsi="Arial" w:cs="Arial"/>
          <w:color w:val="000000"/>
          <w:sz w:val="22"/>
          <w:szCs w:val="22"/>
          <w:lang w:val="es-PE"/>
        </w:rPr>
        <w:t xml:space="preserve"> 2011. </w:t>
      </w:r>
      <w:r w:rsidRPr="002F2DD8">
        <w:rPr>
          <w:rFonts w:ascii="Arial" w:hAnsi="Arial" w:cs="Arial"/>
          <w:color w:val="000000"/>
          <w:sz w:val="22"/>
          <w:szCs w:val="22"/>
          <w:lang w:val="es-ES"/>
        </w:rPr>
        <w:t>Guía práctica para la creación y la gestión de oficinas de transferencia de tecnología en universidades y centros de investigación de América Latina. Organización Mundial de la Propiedad Intelectual</w:t>
      </w:r>
    </w:p>
    <w:p w14:paraId="060A8F2D" w14:textId="77777777" w:rsidR="00630B09" w:rsidRPr="002F2DD8" w:rsidRDefault="00630B09" w:rsidP="002F2DD8">
      <w:pPr>
        <w:pStyle w:val="Prrafodelista"/>
        <w:spacing w:after="200" w:line="360" w:lineRule="auto"/>
        <w:rPr>
          <w:rFonts w:ascii="Arial" w:hAnsi="Arial" w:cs="Arial"/>
          <w:color w:val="000000"/>
          <w:sz w:val="22"/>
          <w:szCs w:val="22"/>
          <w:lang w:val="es-ES"/>
        </w:rPr>
      </w:pPr>
    </w:p>
    <w:p w14:paraId="5E23759B" w14:textId="77777777" w:rsidR="00630B09" w:rsidRPr="002F2DD8" w:rsidRDefault="00630B09" w:rsidP="002F2DD8">
      <w:pPr>
        <w:pStyle w:val="Prrafodelista"/>
        <w:spacing w:after="200" w:line="360" w:lineRule="auto"/>
        <w:rPr>
          <w:rFonts w:ascii="Arial" w:hAnsi="Arial" w:cs="Arial"/>
          <w:color w:val="000000"/>
          <w:sz w:val="22"/>
          <w:szCs w:val="22"/>
          <w:lang w:val="en-US"/>
        </w:rPr>
      </w:pPr>
      <w:proofErr w:type="spellStart"/>
      <w:r w:rsidRPr="00023A84">
        <w:rPr>
          <w:rFonts w:ascii="Arial" w:hAnsi="Arial" w:cs="Arial"/>
          <w:b/>
          <w:color w:val="000000"/>
          <w:sz w:val="22"/>
          <w:szCs w:val="22"/>
          <w:lang w:val="es-PE"/>
        </w:rPr>
        <w:t>Phan</w:t>
      </w:r>
      <w:proofErr w:type="spellEnd"/>
      <w:r w:rsidRPr="00023A84">
        <w:rPr>
          <w:rFonts w:ascii="Arial" w:hAnsi="Arial" w:cs="Arial"/>
          <w:b/>
          <w:color w:val="000000"/>
          <w:sz w:val="22"/>
          <w:szCs w:val="22"/>
          <w:lang w:val="es-PE"/>
        </w:rPr>
        <w:t xml:space="preserve">, P. and D. </w:t>
      </w:r>
      <w:proofErr w:type="spellStart"/>
      <w:r w:rsidRPr="00023A84">
        <w:rPr>
          <w:rFonts w:ascii="Arial" w:hAnsi="Arial" w:cs="Arial"/>
          <w:b/>
          <w:color w:val="000000"/>
          <w:sz w:val="22"/>
          <w:szCs w:val="22"/>
          <w:lang w:val="es-PE"/>
        </w:rPr>
        <w:t>Siegel</w:t>
      </w:r>
      <w:proofErr w:type="spellEnd"/>
      <w:r w:rsidRPr="00023A84">
        <w:rPr>
          <w:rFonts w:ascii="Arial" w:hAnsi="Arial" w:cs="Arial"/>
          <w:b/>
          <w:color w:val="000000"/>
          <w:sz w:val="22"/>
          <w:szCs w:val="22"/>
          <w:lang w:val="es-PE"/>
        </w:rPr>
        <w:t xml:space="preserve">. </w:t>
      </w:r>
      <w:r w:rsidRPr="002F2DD8">
        <w:rPr>
          <w:rFonts w:ascii="Arial" w:hAnsi="Arial" w:cs="Arial"/>
          <w:b/>
          <w:color w:val="000000"/>
          <w:sz w:val="22"/>
          <w:szCs w:val="22"/>
          <w:lang w:val="en-US"/>
        </w:rPr>
        <w:t>2006.</w:t>
      </w:r>
      <w:r w:rsidRPr="002F2DD8">
        <w:rPr>
          <w:rFonts w:ascii="Arial" w:hAnsi="Arial" w:cs="Arial"/>
          <w:color w:val="000000"/>
          <w:sz w:val="22"/>
          <w:szCs w:val="22"/>
          <w:lang w:val="en-US"/>
        </w:rPr>
        <w:t xml:space="preserve"> The Effectiveness of University Technology Transfer: Lessons Learned from Quantitative and Qualitative Research in the U.S. and the U.K. Rensselaer Polytechnic Institute Working Paper in Economics </w:t>
      </w:r>
      <w:r w:rsidRPr="002F2DD8">
        <w:rPr>
          <w:rFonts w:ascii="Arial" w:hAnsi="Arial" w:cs="Arial"/>
          <w:color w:val="000000"/>
          <w:sz w:val="22"/>
          <w:szCs w:val="22"/>
          <w:lang w:val="en-US"/>
        </w:rPr>
        <w:cr/>
      </w:r>
    </w:p>
    <w:p w14:paraId="1163A75C" w14:textId="77777777" w:rsidR="00630B09" w:rsidRPr="002F2DD8" w:rsidRDefault="00630B09" w:rsidP="002F2DD8">
      <w:pPr>
        <w:pStyle w:val="Prrafodelista"/>
        <w:spacing w:after="200" w:line="360" w:lineRule="auto"/>
        <w:rPr>
          <w:rFonts w:ascii="Arial" w:hAnsi="Arial" w:cs="Arial"/>
          <w:color w:val="000000"/>
          <w:sz w:val="22"/>
          <w:szCs w:val="22"/>
          <w:lang w:val="en-US"/>
        </w:rPr>
      </w:pPr>
      <w:proofErr w:type="spellStart"/>
      <w:r w:rsidRPr="002F2DD8">
        <w:rPr>
          <w:rFonts w:ascii="Arial" w:hAnsi="Arial" w:cs="Arial"/>
          <w:b/>
          <w:color w:val="000000"/>
          <w:sz w:val="22"/>
          <w:szCs w:val="22"/>
          <w:lang w:val="en-US"/>
        </w:rPr>
        <w:t>Thursby</w:t>
      </w:r>
      <w:proofErr w:type="spellEnd"/>
      <w:r w:rsidRPr="002F2DD8">
        <w:rPr>
          <w:rFonts w:ascii="Arial" w:hAnsi="Arial" w:cs="Arial"/>
          <w:b/>
          <w:color w:val="000000"/>
          <w:sz w:val="22"/>
          <w:szCs w:val="22"/>
          <w:lang w:val="en-US"/>
        </w:rPr>
        <w:t xml:space="preserve">, J. G., Jensen, R., and </w:t>
      </w:r>
      <w:proofErr w:type="spellStart"/>
      <w:r w:rsidRPr="002F2DD8">
        <w:rPr>
          <w:rFonts w:ascii="Arial" w:hAnsi="Arial" w:cs="Arial"/>
          <w:b/>
          <w:color w:val="000000"/>
          <w:sz w:val="22"/>
          <w:szCs w:val="22"/>
          <w:lang w:val="en-US"/>
        </w:rPr>
        <w:t>Thursby</w:t>
      </w:r>
      <w:proofErr w:type="spellEnd"/>
      <w:r w:rsidRPr="002F2DD8">
        <w:rPr>
          <w:rFonts w:ascii="Arial" w:hAnsi="Arial" w:cs="Arial"/>
          <w:b/>
          <w:color w:val="000000"/>
          <w:sz w:val="22"/>
          <w:szCs w:val="22"/>
          <w:lang w:val="en-US"/>
        </w:rPr>
        <w:t>, M. C. 2001</w:t>
      </w:r>
      <w:r w:rsidRPr="002F2DD8">
        <w:rPr>
          <w:rFonts w:ascii="Arial" w:hAnsi="Arial" w:cs="Arial"/>
          <w:color w:val="000000"/>
          <w:sz w:val="22"/>
          <w:szCs w:val="22"/>
          <w:lang w:val="en-US"/>
        </w:rPr>
        <w:t>. “Objectives, Characteristics and Outcomes of University Licensing: A Survey of Major U.S. Universities”. Journal of Technology Transfer 26, 59-72</w:t>
      </w:r>
    </w:p>
    <w:p w14:paraId="3718250D" w14:textId="77777777" w:rsidR="00BC2F30" w:rsidRPr="002F2DD8" w:rsidRDefault="00407089" w:rsidP="002F2DD8">
      <w:pPr>
        <w:pStyle w:val="Prrafodelista"/>
        <w:spacing w:after="200" w:line="360" w:lineRule="auto"/>
        <w:rPr>
          <w:rFonts w:ascii="Arial" w:eastAsia="Times" w:hAnsi="Arial" w:cs="Arial"/>
          <w:bCs/>
          <w:iCs/>
          <w:sz w:val="22"/>
          <w:szCs w:val="22"/>
          <w:lang w:val="es-PE" w:eastAsia="es-ES"/>
        </w:rPr>
      </w:pPr>
      <w:r w:rsidRPr="002F2DD8">
        <w:rPr>
          <w:rFonts w:ascii="Arial" w:hAnsi="Arial" w:cs="Arial"/>
          <w:color w:val="000000"/>
          <w:sz w:val="22"/>
          <w:szCs w:val="22"/>
          <w:lang w:val="en-US"/>
        </w:rPr>
        <w:br/>
      </w:r>
    </w:p>
    <w:p w14:paraId="34523924" w14:textId="77777777" w:rsidR="00BC2F30" w:rsidRPr="002F2DD8" w:rsidRDefault="00BC2F30" w:rsidP="002F2DD8">
      <w:pPr>
        <w:pStyle w:val="Prrafodelista"/>
        <w:spacing w:after="200" w:line="360" w:lineRule="auto"/>
        <w:ind w:left="1416"/>
        <w:rPr>
          <w:rFonts w:ascii="Arial" w:eastAsia="Times" w:hAnsi="Arial" w:cs="Arial"/>
          <w:bCs/>
          <w:iCs/>
          <w:sz w:val="22"/>
          <w:szCs w:val="22"/>
          <w:lang w:val="es-PE" w:eastAsia="es-ES"/>
        </w:rPr>
      </w:pPr>
    </w:p>
    <w:p w14:paraId="5166F69D" w14:textId="77777777" w:rsidR="00BC2F30" w:rsidRPr="002F2DD8" w:rsidRDefault="00BC2F30" w:rsidP="002F2DD8">
      <w:pPr>
        <w:pStyle w:val="Prrafodelista"/>
        <w:spacing w:after="200" w:line="360" w:lineRule="auto"/>
        <w:ind w:left="1416"/>
        <w:rPr>
          <w:rFonts w:ascii="Arial" w:eastAsia="Times" w:hAnsi="Arial" w:cs="Arial"/>
          <w:bCs/>
          <w:iCs/>
          <w:sz w:val="22"/>
          <w:szCs w:val="22"/>
          <w:lang w:eastAsia="es-ES"/>
        </w:rPr>
      </w:pPr>
      <w:r w:rsidRPr="002F2DD8">
        <w:rPr>
          <w:rFonts w:ascii="Arial" w:eastAsia="Times" w:hAnsi="Arial" w:cs="Arial"/>
          <w:bCs/>
          <w:iCs/>
          <w:sz w:val="22"/>
          <w:szCs w:val="22"/>
          <w:lang w:eastAsia="es-ES"/>
        </w:rPr>
        <w:t>.</w:t>
      </w:r>
    </w:p>
    <w:p w14:paraId="760FCB62" w14:textId="77777777" w:rsidR="00BC2F30" w:rsidRPr="002F2DD8" w:rsidRDefault="00BC2F30" w:rsidP="002F2DD8">
      <w:pPr>
        <w:pStyle w:val="Prrafodelista"/>
        <w:spacing w:after="200" w:line="360" w:lineRule="auto"/>
        <w:ind w:left="1416"/>
        <w:rPr>
          <w:rFonts w:ascii="Arial" w:hAnsi="Arial" w:cs="Arial"/>
          <w:b/>
          <w:color w:val="000000"/>
          <w:sz w:val="22"/>
          <w:szCs w:val="22"/>
          <w:lang w:val="es-ES"/>
        </w:rPr>
      </w:pPr>
    </w:p>
    <w:p w14:paraId="56FA7373" w14:textId="77777777" w:rsidR="00BC2F30" w:rsidRPr="002F2DD8" w:rsidRDefault="00BC2F30" w:rsidP="002F2DD8">
      <w:pPr>
        <w:pStyle w:val="Prrafodelista"/>
        <w:spacing w:after="200" w:line="360" w:lineRule="auto"/>
        <w:ind w:left="1416"/>
        <w:rPr>
          <w:rFonts w:ascii="Arial" w:hAnsi="Arial" w:cs="Arial"/>
          <w:b/>
          <w:color w:val="000000"/>
          <w:sz w:val="22"/>
          <w:szCs w:val="22"/>
          <w:lang w:val="es-PE"/>
        </w:rPr>
      </w:pPr>
    </w:p>
    <w:sectPr w:rsidR="00BC2F30" w:rsidRPr="002F2DD8">
      <w:footerReference w:type="default" r:id="rId7"/>
      <w:pgSz w:w="12240" w:h="15840"/>
      <w:pgMar w:top="1417" w:right="1701" w:bottom="1417"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9A957E" w14:textId="77777777" w:rsidR="002A4D4C" w:rsidRDefault="002A4D4C">
      <w:r>
        <w:separator/>
      </w:r>
    </w:p>
  </w:endnote>
  <w:endnote w:type="continuationSeparator" w:id="0">
    <w:p w14:paraId="554CEF96" w14:textId="77777777" w:rsidR="002A4D4C" w:rsidRDefault="002A4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5219511"/>
      <w:docPartObj>
        <w:docPartGallery w:val="Page Numbers (Bottom of Page)"/>
        <w:docPartUnique/>
      </w:docPartObj>
    </w:sdtPr>
    <w:sdtEndPr/>
    <w:sdtContent>
      <w:p w14:paraId="519E3AD4" w14:textId="4782809B" w:rsidR="00D6492E" w:rsidRDefault="00D6492E">
        <w:pPr>
          <w:pStyle w:val="Piedepgina"/>
          <w:jc w:val="right"/>
        </w:pPr>
        <w:r>
          <w:fldChar w:fldCharType="begin"/>
        </w:r>
        <w:r>
          <w:instrText>PAGE   \* MERGEFORMAT</w:instrText>
        </w:r>
        <w:r>
          <w:fldChar w:fldCharType="separate"/>
        </w:r>
        <w:r w:rsidR="00D44044" w:rsidRPr="00D44044">
          <w:rPr>
            <w:noProof/>
            <w:lang w:val="es-ES"/>
          </w:rPr>
          <w:t>7</w:t>
        </w:r>
        <w:r>
          <w:fldChar w:fldCharType="end"/>
        </w:r>
      </w:p>
    </w:sdtContent>
  </w:sdt>
  <w:p w14:paraId="7553C2D4" w14:textId="77777777" w:rsidR="00D6492E" w:rsidRDefault="00D6492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733A61" w14:textId="77777777" w:rsidR="002A4D4C" w:rsidRDefault="002A4D4C">
      <w:r>
        <w:separator/>
      </w:r>
    </w:p>
  </w:footnote>
  <w:footnote w:type="continuationSeparator" w:id="0">
    <w:p w14:paraId="40B56EDA" w14:textId="77777777" w:rsidR="002A4D4C" w:rsidRDefault="002A4D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62859"/>
    <w:multiLevelType w:val="hybridMultilevel"/>
    <w:tmpl w:val="1A3A6E36"/>
    <w:lvl w:ilvl="0" w:tplc="0938EBA2">
      <w:start w:val="1"/>
      <w:numFmt w:val="bullet"/>
      <w:lvlText w:val=""/>
      <w:lvlJc w:val="left"/>
      <w:pPr>
        <w:tabs>
          <w:tab w:val="num" w:pos="1560"/>
        </w:tabs>
        <w:ind w:left="1713" w:hanging="360"/>
      </w:pPr>
      <w:rPr>
        <w:rFonts w:ascii="Symbol" w:hAnsi="Symbol" w:hint="default"/>
      </w:rPr>
    </w:lvl>
    <w:lvl w:ilvl="1" w:tplc="0C0A0003">
      <w:start w:val="1"/>
      <w:numFmt w:val="bullet"/>
      <w:lvlText w:val="o"/>
      <w:lvlJc w:val="left"/>
      <w:pPr>
        <w:tabs>
          <w:tab w:val="num" w:pos="2520"/>
        </w:tabs>
        <w:ind w:left="2520" w:hanging="360"/>
      </w:pPr>
      <w:rPr>
        <w:rFonts w:ascii="Courier New" w:hAnsi="Courier New" w:cs="Courier New" w:hint="default"/>
      </w:r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
    <w:nsid w:val="246A3A80"/>
    <w:multiLevelType w:val="hybridMultilevel"/>
    <w:tmpl w:val="71D0D6C6"/>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2A4A02CF"/>
    <w:multiLevelType w:val="hybridMultilevel"/>
    <w:tmpl w:val="F6EEA0A0"/>
    <w:lvl w:ilvl="0" w:tplc="04090001">
      <w:start w:val="1"/>
      <w:numFmt w:val="bullet"/>
      <w:lvlText w:val=""/>
      <w:lvlJc w:val="left"/>
      <w:pPr>
        <w:ind w:left="2070" w:hanging="360"/>
      </w:pPr>
      <w:rPr>
        <w:rFonts w:ascii="Symbol" w:hAnsi="Symbol" w:hint="default"/>
      </w:rPr>
    </w:lvl>
    <w:lvl w:ilvl="1" w:tplc="04090003">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3">
    <w:nsid w:val="3BF60D75"/>
    <w:multiLevelType w:val="hybridMultilevel"/>
    <w:tmpl w:val="4C828898"/>
    <w:lvl w:ilvl="0" w:tplc="280A000F">
      <w:start w:val="1"/>
      <w:numFmt w:val="decimal"/>
      <w:lvlText w:val="%1."/>
      <w:lvlJc w:val="left"/>
      <w:pPr>
        <w:ind w:left="720" w:hanging="360"/>
      </w:pPr>
    </w:lvl>
    <w:lvl w:ilvl="1" w:tplc="280A0019">
      <w:start w:val="1"/>
      <w:numFmt w:val="lowerLetter"/>
      <w:lvlText w:val="%2."/>
      <w:lvlJc w:val="left"/>
      <w:pPr>
        <w:ind w:left="36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406C436B"/>
    <w:multiLevelType w:val="hybridMultilevel"/>
    <w:tmpl w:val="36408830"/>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46920CBF"/>
    <w:multiLevelType w:val="hybridMultilevel"/>
    <w:tmpl w:val="0CBCE59C"/>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477801FC"/>
    <w:multiLevelType w:val="hybridMultilevel"/>
    <w:tmpl w:val="9AA89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8B2ABC"/>
    <w:multiLevelType w:val="hybridMultilevel"/>
    <w:tmpl w:val="A0A8F91A"/>
    <w:lvl w:ilvl="0" w:tplc="4C805BD0">
      <w:start w:val="1"/>
      <w:numFmt w:val="upperLetter"/>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8">
    <w:nsid w:val="54656112"/>
    <w:multiLevelType w:val="hybridMultilevel"/>
    <w:tmpl w:val="C204C6F0"/>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55F71A9B"/>
    <w:multiLevelType w:val="hybridMultilevel"/>
    <w:tmpl w:val="53B0E5B0"/>
    <w:lvl w:ilvl="0" w:tplc="31BA19B4">
      <w:start w:val="1"/>
      <w:numFmt w:val="lowerLetter"/>
      <w:lvlText w:val="%1)"/>
      <w:lvlJc w:val="left"/>
      <w:pPr>
        <w:ind w:left="1080" w:hanging="360"/>
      </w:pPr>
      <w:rPr>
        <w:rFonts w:cs="Times New Roman" w:hint="default"/>
      </w:rPr>
    </w:lvl>
    <w:lvl w:ilvl="1" w:tplc="280A0019" w:tentative="1">
      <w:start w:val="1"/>
      <w:numFmt w:val="lowerLetter"/>
      <w:lvlText w:val="%2."/>
      <w:lvlJc w:val="left"/>
      <w:pPr>
        <w:ind w:left="1800" w:hanging="360"/>
      </w:pPr>
      <w:rPr>
        <w:rFonts w:cs="Times New Roman"/>
      </w:rPr>
    </w:lvl>
    <w:lvl w:ilvl="2" w:tplc="280A001B" w:tentative="1">
      <w:start w:val="1"/>
      <w:numFmt w:val="lowerRoman"/>
      <w:lvlText w:val="%3."/>
      <w:lvlJc w:val="right"/>
      <w:pPr>
        <w:ind w:left="2520" w:hanging="180"/>
      </w:pPr>
      <w:rPr>
        <w:rFonts w:cs="Times New Roman"/>
      </w:rPr>
    </w:lvl>
    <w:lvl w:ilvl="3" w:tplc="280A000F" w:tentative="1">
      <w:start w:val="1"/>
      <w:numFmt w:val="decimal"/>
      <w:lvlText w:val="%4."/>
      <w:lvlJc w:val="left"/>
      <w:pPr>
        <w:ind w:left="3240" w:hanging="360"/>
      </w:pPr>
      <w:rPr>
        <w:rFonts w:cs="Times New Roman"/>
      </w:rPr>
    </w:lvl>
    <w:lvl w:ilvl="4" w:tplc="280A0019" w:tentative="1">
      <w:start w:val="1"/>
      <w:numFmt w:val="lowerLetter"/>
      <w:lvlText w:val="%5."/>
      <w:lvlJc w:val="left"/>
      <w:pPr>
        <w:ind w:left="3960" w:hanging="360"/>
      </w:pPr>
      <w:rPr>
        <w:rFonts w:cs="Times New Roman"/>
      </w:rPr>
    </w:lvl>
    <w:lvl w:ilvl="5" w:tplc="280A001B" w:tentative="1">
      <w:start w:val="1"/>
      <w:numFmt w:val="lowerRoman"/>
      <w:lvlText w:val="%6."/>
      <w:lvlJc w:val="right"/>
      <w:pPr>
        <w:ind w:left="4680" w:hanging="180"/>
      </w:pPr>
      <w:rPr>
        <w:rFonts w:cs="Times New Roman"/>
      </w:rPr>
    </w:lvl>
    <w:lvl w:ilvl="6" w:tplc="280A000F" w:tentative="1">
      <w:start w:val="1"/>
      <w:numFmt w:val="decimal"/>
      <w:lvlText w:val="%7."/>
      <w:lvlJc w:val="left"/>
      <w:pPr>
        <w:ind w:left="5400" w:hanging="360"/>
      </w:pPr>
      <w:rPr>
        <w:rFonts w:cs="Times New Roman"/>
      </w:rPr>
    </w:lvl>
    <w:lvl w:ilvl="7" w:tplc="280A0019" w:tentative="1">
      <w:start w:val="1"/>
      <w:numFmt w:val="lowerLetter"/>
      <w:lvlText w:val="%8."/>
      <w:lvlJc w:val="left"/>
      <w:pPr>
        <w:ind w:left="6120" w:hanging="360"/>
      </w:pPr>
      <w:rPr>
        <w:rFonts w:cs="Times New Roman"/>
      </w:rPr>
    </w:lvl>
    <w:lvl w:ilvl="8" w:tplc="280A001B" w:tentative="1">
      <w:start w:val="1"/>
      <w:numFmt w:val="lowerRoman"/>
      <w:lvlText w:val="%9."/>
      <w:lvlJc w:val="right"/>
      <w:pPr>
        <w:ind w:left="6840" w:hanging="180"/>
      </w:pPr>
      <w:rPr>
        <w:rFonts w:cs="Times New Roman"/>
      </w:rPr>
    </w:lvl>
  </w:abstractNum>
  <w:abstractNum w:abstractNumId="10">
    <w:nsid w:val="6CFA0744"/>
    <w:multiLevelType w:val="multilevel"/>
    <w:tmpl w:val="BDB45AE0"/>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Symbol" w:hint="default"/>
      </w:r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1">
    <w:nsid w:val="77426F68"/>
    <w:multiLevelType w:val="hybridMultilevel"/>
    <w:tmpl w:val="04EE7F50"/>
    <w:lvl w:ilvl="0" w:tplc="DEC024BE">
      <w:start w:val="4"/>
      <w:numFmt w:val="lowerLetter"/>
      <w:lvlText w:val="%1)"/>
      <w:lvlJc w:val="left"/>
      <w:pPr>
        <w:ind w:left="1080" w:hanging="360"/>
      </w:pPr>
      <w:rPr>
        <w:rFonts w:hint="default"/>
        <w:b/>
        <w:color w:val="00000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11"/>
  </w:num>
  <w:num w:numId="5">
    <w:abstractNumId w:val="1"/>
  </w:num>
  <w:num w:numId="6">
    <w:abstractNumId w:val="9"/>
  </w:num>
  <w:num w:numId="7">
    <w:abstractNumId w:val="8"/>
  </w:num>
  <w:num w:numId="8">
    <w:abstractNumId w:val="5"/>
  </w:num>
  <w:num w:numId="9">
    <w:abstractNumId w:val="4"/>
  </w:num>
  <w:num w:numId="10">
    <w:abstractNumId w:val="7"/>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s-ES" w:vendorID="9" w:dllVersion="512" w:checkStyle="1"/>
  <w:activeWritingStyle w:appName="MSWord" w:lang="es-ES_tradnl"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778"/>
    <w:rsid w:val="0000109F"/>
    <w:rsid w:val="00012038"/>
    <w:rsid w:val="0001378D"/>
    <w:rsid w:val="000229C4"/>
    <w:rsid w:val="00023A84"/>
    <w:rsid w:val="00024EDD"/>
    <w:rsid w:val="00030450"/>
    <w:rsid w:val="00033860"/>
    <w:rsid w:val="00037F52"/>
    <w:rsid w:val="00041C57"/>
    <w:rsid w:val="00045563"/>
    <w:rsid w:val="000500F6"/>
    <w:rsid w:val="00056B08"/>
    <w:rsid w:val="00057F69"/>
    <w:rsid w:val="00062DBA"/>
    <w:rsid w:val="00064107"/>
    <w:rsid w:val="000676AB"/>
    <w:rsid w:val="000761E4"/>
    <w:rsid w:val="00076C3E"/>
    <w:rsid w:val="00076DB8"/>
    <w:rsid w:val="000824BC"/>
    <w:rsid w:val="00082A95"/>
    <w:rsid w:val="00091898"/>
    <w:rsid w:val="000948D8"/>
    <w:rsid w:val="000965BA"/>
    <w:rsid w:val="000A1E39"/>
    <w:rsid w:val="000B0CFB"/>
    <w:rsid w:val="000E4D52"/>
    <w:rsid w:val="000F44F7"/>
    <w:rsid w:val="000F50FF"/>
    <w:rsid w:val="001003F6"/>
    <w:rsid w:val="00100A43"/>
    <w:rsid w:val="001106F0"/>
    <w:rsid w:val="0011222B"/>
    <w:rsid w:val="00116A78"/>
    <w:rsid w:val="001209CD"/>
    <w:rsid w:val="00121410"/>
    <w:rsid w:val="00124CCE"/>
    <w:rsid w:val="00151A30"/>
    <w:rsid w:val="0015295D"/>
    <w:rsid w:val="00161163"/>
    <w:rsid w:val="00162C61"/>
    <w:rsid w:val="00177193"/>
    <w:rsid w:val="00181C28"/>
    <w:rsid w:val="00186C8F"/>
    <w:rsid w:val="00191D81"/>
    <w:rsid w:val="0019379F"/>
    <w:rsid w:val="00193F70"/>
    <w:rsid w:val="00193F92"/>
    <w:rsid w:val="001A39E2"/>
    <w:rsid w:val="001A5E52"/>
    <w:rsid w:val="001B7F26"/>
    <w:rsid w:val="001C1B01"/>
    <w:rsid w:val="001C42A9"/>
    <w:rsid w:val="001D69C6"/>
    <w:rsid w:val="001E507E"/>
    <w:rsid w:val="001E5393"/>
    <w:rsid w:val="001E714C"/>
    <w:rsid w:val="001F164D"/>
    <w:rsid w:val="001F4B65"/>
    <w:rsid w:val="001F52A9"/>
    <w:rsid w:val="001F7B78"/>
    <w:rsid w:val="00203778"/>
    <w:rsid w:val="00204635"/>
    <w:rsid w:val="002067A8"/>
    <w:rsid w:val="00206ED8"/>
    <w:rsid w:val="0021048F"/>
    <w:rsid w:val="00210E0D"/>
    <w:rsid w:val="0021141F"/>
    <w:rsid w:val="00222861"/>
    <w:rsid w:val="0022543A"/>
    <w:rsid w:val="002257C9"/>
    <w:rsid w:val="002262FA"/>
    <w:rsid w:val="00230114"/>
    <w:rsid w:val="002349F1"/>
    <w:rsid w:val="00235385"/>
    <w:rsid w:val="00235F0E"/>
    <w:rsid w:val="002374C3"/>
    <w:rsid w:val="00253629"/>
    <w:rsid w:val="00274D13"/>
    <w:rsid w:val="0029372C"/>
    <w:rsid w:val="0029434D"/>
    <w:rsid w:val="00295A6A"/>
    <w:rsid w:val="00296B60"/>
    <w:rsid w:val="002A0116"/>
    <w:rsid w:val="002A4D4C"/>
    <w:rsid w:val="002A7E39"/>
    <w:rsid w:val="002B1414"/>
    <w:rsid w:val="002C4998"/>
    <w:rsid w:val="002C62D8"/>
    <w:rsid w:val="002C73EE"/>
    <w:rsid w:val="002D2104"/>
    <w:rsid w:val="002D60BD"/>
    <w:rsid w:val="002D639E"/>
    <w:rsid w:val="002D7D7A"/>
    <w:rsid w:val="002E3299"/>
    <w:rsid w:val="002F1001"/>
    <w:rsid w:val="002F2DD8"/>
    <w:rsid w:val="00305C31"/>
    <w:rsid w:val="00310BDF"/>
    <w:rsid w:val="00312787"/>
    <w:rsid w:val="003171EC"/>
    <w:rsid w:val="00317888"/>
    <w:rsid w:val="00321046"/>
    <w:rsid w:val="00332F6E"/>
    <w:rsid w:val="00350342"/>
    <w:rsid w:val="00363160"/>
    <w:rsid w:val="0036782C"/>
    <w:rsid w:val="00367E62"/>
    <w:rsid w:val="003718C5"/>
    <w:rsid w:val="0037241F"/>
    <w:rsid w:val="00380D75"/>
    <w:rsid w:val="00384421"/>
    <w:rsid w:val="00384895"/>
    <w:rsid w:val="00384F77"/>
    <w:rsid w:val="0038524B"/>
    <w:rsid w:val="00387EB1"/>
    <w:rsid w:val="003905CC"/>
    <w:rsid w:val="0039061D"/>
    <w:rsid w:val="00391276"/>
    <w:rsid w:val="00392351"/>
    <w:rsid w:val="00392FFD"/>
    <w:rsid w:val="00393D64"/>
    <w:rsid w:val="00396518"/>
    <w:rsid w:val="003A273B"/>
    <w:rsid w:val="003A3FFF"/>
    <w:rsid w:val="003B0FD1"/>
    <w:rsid w:val="003B77EF"/>
    <w:rsid w:val="003C0E4E"/>
    <w:rsid w:val="003C2D1B"/>
    <w:rsid w:val="003C37D7"/>
    <w:rsid w:val="003D453E"/>
    <w:rsid w:val="003D6222"/>
    <w:rsid w:val="003E0BCC"/>
    <w:rsid w:val="003E4BDD"/>
    <w:rsid w:val="003F3FA6"/>
    <w:rsid w:val="003F6915"/>
    <w:rsid w:val="00407089"/>
    <w:rsid w:val="004214AB"/>
    <w:rsid w:val="00430A65"/>
    <w:rsid w:val="00431E7D"/>
    <w:rsid w:val="00435731"/>
    <w:rsid w:val="0043721D"/>
    <w:rsid w:val="00440961"/>
    <w:rsid w:val="00441B4F"/>
    <w:rsid w:val="00451150"/>
    <w:rsid w:val="0046322F"/>
    <w:rsid w:val="00463386"/>
    <w:rsid w:val="00481B29"/>
    <w:rsid w:val="0049005D"/>
    <w:rsid w:val="004908D7"/>
    <w:rsid w:val="00492D5A"/>
    <w:rsid w:val="00496AFF"/>
    <w:rsid w:val="0049732F"/>
    <w:rsid w:val="004A4B5A"/>
    <w:rsid w:val="004A5165"/>
    <w:rsid w:val="004A569A"/>
    <w:rsid w:val="004A7879"/>
    <w:rsid w:val="004B132E"/>
    <w:rsid w:val="004B5F15"/>
    <w:rsid w:val="004B6853"/>
    <w:rsid w:val="004C3D47"/>
    <w:rsid w:val="004C5913"/>
    <w:rsid w:val="004C6DE3"/>
    <w:rsid w:val="004D1FE3"/>
    <w:rsid w:val="004E0114"/>
    <w:rsid w:val="004E2C84"/>
    <w:rsid w:val="004F3747"/>
    <w:rsid w:val="004F6989"/>
    <w:rsid w:val="0050456C"/>
    <w:rsid w:val="00510CF9"/>
    <w:rsid w:val="00516ABD"/>
    <w:rsid w:val="005259DA"/>
    <w:rsid w:val="00531CDB"/>
    <w:rsid w:val="00532EAA"/>
    <w:rsid w:val="00532FC4"/>
    <w:rsid w:val="0053682C"/>
    <w:rsid w:val="005517CD"/>
    <w:rsid w:val="0055752B"/>
    <w:rsid w:val="00563720"/>
    <w:rsid w:val="005642C6"/>
    <w:rsid w:val="005643F1"/>
    <w:rsid w:val="00570BE1"/>
    <w:rsid w:val="005724D2"/>
    <w:rsid w:val="00592834"/>
    <w:rsid w:val="00594A0E"/>
    <w:rsid w:val="005A69A9"/>
    <w:rsid w:val="005B183B"/>
    <w:rsid w:val="005B3D30"/>
    <w:rsid w:val="005B43BA"/>
    <w:rsid w:val="005B4728"/>
    <w:rsid w:val="005C25B2"/>
    <w:rsid w:val="005C3A6E"/>
    <w:rsid w:val="005C6965"/>
    <w:rsid w:val="005C6DE8"/>
    <w:rsid w:val="005D1A7E"/>
    <w:rsid w:val="005D7FEE"/>
    <w:rsid w:val="005E7CBA"/>
    <w:rsid w:val="0060249B"/>
    <w:rsid w:val="006029CF"/>
    <w:rsid w:val="00602AD8"/>
    <w:rsid w:val="00603FC4"/>
    <w:rsid w:val="00607D6B"/>
    <w:rsid w:val="00611C05"/>
    <w:rsid w:val="0061732F"/>
    <w:rsid w:val="0062452D"/>
    <w:rsid w:val="00627D3D"/>
    <w:rsid w:val="00630B09"/>
    <w:rsid w:val="00630D2B"/>
    <w:rsid w:val="006345A7"/>
    <w:rsid w:val="00634F2E"/>
    <w:rsid w:val="00636C72"/>
    <w:rsid w:val="00640169"/>
    <w:rsid w:val="006479B6"/>
    <w:rsid w:val="00662548"/>
    <w:rsid w:val="00665C66"/>
    <w:rsid w:val="00672903"/>
    <w:rsid w:val="006866BC"/>
    <w:rsid w:val="0069231C"/>
    <w:rsid w:val="00693A92"/>
    <w:rsid w:val="006B1CF8"/>
    <w:rsid w:val="006B2647"/>
    <w:rsid w:val="006B2986"/>
    <w:rsid w:val="006B4A60"/>
    <w:rsid w:val="006B7225"/>
    <w:rsid w:val="006C4140"/>
    <w:rsid w:val="006C4CCF"/>
    <w:rsid w:val="006C7280"/>
    <w:rsid w:val="006D6B02"/>
    <w:rsid w:val="006E0CFF"/>
    <w:rsid w:val="006E3D14"/>
    <w:rsid w:val="006F6873"/>
    <w:rsid w:val="00705EA3"/>
    <w:rsid w:val="00710CDA"/>
    <w:rsid w:val="00712D27"/>
    <w:rsid w:val="007226DF"/>
    <w:rsid w:val="00724EBA"/>
    <w:rsid w:val="00727E9E"/>
    <w:rsid w:val="00741F05"/>
    <w:rsid w:val="0074272C"/>
    <w:rsid w:val="00743B3F"/>
    <w:rsid w:val="00756470"/>
    <w:rsid w:val="0076232A"/>
    <w:rsid w:val="0076254B"/>
    <w:rsid w:val="00764B92"/>
    <w:rsid w:val="00770797"/>
    <w:rsid w:val="00771340"/>
    <w:rsid w:val="0077254B"/>
    <w:rsid w:val="0077484B"/>
    <w:rsid w:val="00776C3B"/>
    <w:rsid w:val="00780288"/>
    <w:rsid w:val="007802A0"/>
    <w:rsid w:val="00796F9B"/>
    <w:rsid w:val="0079775D"/>
    <w:rsid w:val="007A5498"/>
    <w:rsid w:val="007A7856"/>
    <w:rsid w:val="007B53C3"/>
    <w:rsid w:val="007C170A"/>
    <w:rsid w:val="007C24C0"/>
    <w:rsid w:val="007C569D"/>
    <w:rsid w:val="007D40D3"/>
    <w:rsid w:val="007D6670"/>
    <w:rsid w:val="00807AED"/>
    <w:rsid w:val="00811FAE"/>
    <w:rsid w:val="0081232F"/>
    <w:rsid w:val="00812FDF"/>
    <w:rsid w:val="00815C14"/>
    <w:rsid w:val="008222B8"/>
    <w:rsid w:val="00822B2E"/>
    <w:rsid w:val="008327EA"/>
    <w:rsid w:val="00835E2A"/>
    <w:rsid w:val="008445AB"/>
    <w:rsid w:val="008453CF"/>
    <w:rsid w:val="0086044C"/>
    <w:rsid w:val="00863C1E"/>
    <w:rsid w:val="008662EA"/>
    <w:rsid w:val="008712E1"/>
    <w:rsid w:val="00873BC4"/>
    <w:rsid w:val="008768AC"/>
    <w:rsid w:val="00880384"/>
    <w:rsid w:val="008847B3"/>
    <w:rsid w:val="00895AB6"/>
    <w:rsid w:val="008A0F5B"/>
    <w:rsid w:val="008A1531"/>
    <w:rsid w:val="008A2EBB"/>
    <w:rsid w:val="008A5CC6"/>
    <w:rsid w:val="008B34C4"/>
    <w:rsid w:val="008C6771"/>
    <w:rsid w:val="008C6E03"/>
    <w:rsid w:val="008D1D46"/>
    <w:rsid w:val="008D5F11"/>
    <w:rsid w:val="008F37D8"/>
    <w:rsid w:val="0090263D"/>
    <w:rsid w:val="00906687"/>
    <w:rsid w:val="00906C14"/>
    <w:rsid w:val="00906E25"/>
    <w:rsid w:val="009118BB"/>
    <w:rsid w:val="009126E3"/>
    <w:rsid w:val="00921AE3"/>
    <w:rsid w:val="00921B8C"/>
    <w:rsid w:val="009303E8"/>
    <w:rsid w:val="00932BE4"/>
    <w:rsid w:val="00933EB0"/>
    <w:rsid w:val="00936548"/>
    <w:rsid w:val="00937A85"/>
    <w:rsid w:val="00947C28"/>
    <w:rsid w:val="009543DF"/>
    <w:rsid w:val="00956B62"/>
    <w:rsid w:val="00960781"/>
    <w:rsid w:val="00960DBB"/>
    <w:rsid w:val="00964A10"/>
    <w:rsid w:val="00964C18"/>
    <w:rsid w:val="009A2AB8"/>
    <w:rsid w:val="009A7542"/>
    <w:rsid w:val="009B6948"/>
    <w:rsid w:val="009E0A66"/>
    <w:rsid w:val="009E0B13"/>
    <w:rsid w:val="009E32AF"/>
    <w:rsid w:val="009E3AB2"/>
    <w:rsid w:val="009E4B52"/>
    <w:rsid w:val="009E731E"/>
    <w:rsid w:val="009F70F4"/>
    <w:rsid w:val="00A01741"/>
    <w:rsid w:val="00A163C5"/>
    <w:rsid w:val="00A24467"/>
    <w:rsid w:val="00A24E34"/>
    <w:rsid w:val="00A26F92"/>
    <w:rsid w:val="00A27006"/>
    <w:rsid w:val="00A319B9"/>
    <w:rsid w:val="00A4171B"/>
    <w:rsid w:val="00A4312A"/>
    <w:rsid w:val="00A45825"/>
    <w:rsid w:val="00A46B5D"/>
    <w:rsid w:val="00A47ABC"/>
    <w:rsid w:val="00A67B2C"/>
    <w:rsid w:val="00A8210F"/>
    <w:rsid w:val="00A82C2A"/>
    <w:rsid w:val="00A916EF"/>
    <w:rsid w:val="00A96E73"/>
    <w:rsid w:val="00AA3349"/>
    <w:rsid w:val="00AB474B"/>
    <w:rsid w:val="00AB6123"/>
    <w:rsid w:val="00AC08E9"/>
    <w:rsid w:val="00AD328F"/>
    <w:rsid w:val="00AE3E9D"/>
    <w:rsid w:val="00AE45A6"/>
    <w:rsid w:val="00AE76FB"/>
    <w:rsid w:val="00AF303F"/>
    <w:rsid w:val="00B05DD1"/>
    <w:rsid w:val="00B16CE9"/>
    <w:rsid w:val="00B27936"/>
    <w:rsid w:val="00B323B2"/>
    <w:rsid w:val="00B370DF"/>
    <w:rsid w:val="00B42B54"/>
    <w:rsid w:val="00B42DCB"/>
    <w:rsid w:val="00B477E9"/>
    <w:rsid w:val="00B5119E"/>
    <w:rsid w:val="00B52351"/>
    <w:rsid w:val="00B534E2"/>
    <w:rsid w:val="00B63E1A"/>
    <w:rsid w:val="00B66944"/>
    <w:rsid w:val="00B66E16"/>
    <w:rsid w:val="00B815BE"/>
    <w:rsid w:val="00B93844"/>
    <w:rsid w:val="00B93D98"/>
    <w:rsid w:val="00B94AB0"/>
    <w:rsid w:val="00BB0222"/>
    <w:rsid w:val="00BB7078"/>
    <w:rsid w:val="00BC2F30"/>
    <w:rsid w:val="00BD2FCC"/>
    <w:rsid w:val="00BD4E92"/>
    <w:rsid w:val="00BD5039"/>
    <w:rsid w:val="00BF0AE8"/>
    <w:rsid w:val="00BF0F51"/>
    <w:rsid w:val="00BF133E"/>
    <w:rsid w:val="00BF2FB4"/>
    <w:rsid w:val="00BF3A61"/>
    <w:rsid w:val="00C076FD"/>
    <w:rsid w:val="00C13839"/>
    <w:rsid w:val="00C236CB"/>
    <w:rsid w:val="00C24798"/>
    <w:rsid w:val="00C2724D"/>
    <w:rsid w:val="00C33333"/>
    <w:rsid w:val="00C33A75"/>
    <w:rsid w:val="00C37CDF"/>
    <w:rsid w:val="00C46735"/>
    <w:rsid w:val="00C50471"/>
    <w:rsid w:val="00C52826"/>
    <w:rsid w:val="00C54E10"/>
    <w:rsid w:val="00C61E59"/>
    <w:rsid w:val="00C63109"/>
    <w:rsid w:val="00C65DF9"/>
    <w:rsid w:val="00C72C1A"/>
    <w:rsid w:val="00C75AB2"/>
    <w:rsid w:val="00C8328B"/>
    <w:rsid w:val="00C9217D"/>
    <w:rsid w:val="00CA1560"/>
    <w:rsid w:val="00CA4FAF"/>
    <w:rsid w:val="00CA77DF"/>
    <w:rsid w:val="00CB4017"/>
    <w:rsid w:val="00CC1D1A"/>
    <w:rsid w:val="00CC5E23"/>
    <w:rsid w:val="00CC5E95"/>
    <w:rsid w:val="00CD076E"/>
    <w:rsid w:val="00CD13A4"/>
    <w:rsid w:val="00CD27EC"/>
    <w:rsid w:val="00CD2B0A"/>
    <w:rsid w:val="00CF3BA0"/>
    <w:rsid w:val="00D04CB9"/>
    <w:rsid w:val="00D15C88"/>
    <w:rsid w:val="00D214A0"/>
    <w:rsid w:val="00D26AD3"/>
    <w:rsid w:val="00D44044"/>
    <w:rsid w:val="00D45E36"/>
    <w:rsid w:val="00D46E1F"/>
    <w:rsid w:val="00D54DD9"/>
    <w:rsid w:val="00D570DF"/>
    <w:rsid w:val="00D57265"/>
    <w:rsid w:val="00D57351"/>
    <w:rsid w:val="00D5772B"/>
    <w:rsid w:val="00D6492E"/>
    <w:rsid w:val="00D66FE0"/>
    <w:rsid w:val="00D679A7"/>
    <w:rsid w:val="00D73F6C"/>
    <w:rsid w:val="00D76161"/>
    <w:rsid w:val="00D82820"/>
    <w:rsid w:val="00D91513"/>
    <w:rsid w:val="00D962FB"/>
    <w:rsid w:val="00DA06CF"/>
    <w:rsid w:val="00DA390E"/>
    <w:rsid w:val="00DA67AC"/>
    <w:rsid w:val="00DA6FCB"/>
    <w:rsid w:val="00DB3B4A"/>
    <w:rsid w:val="00DC410E"/>
    <w:rsid w:val="00DD1CAA"/>
    <w:rsid w:val="00DD754F"/>
    <w:rsid w:val="00DE0750"/>
    <w:rsid w:val="00DE257D"/>
    <w:rsid w:val="00DE3B0A"/>
    <w:rsid w:val="00DF1C98"/>
    <w:rsid w:val="00DF1F12"/>
    <w:rsid w:val="00DF2979"/>
    <w:rsid w:val="00E009D0"/>
    <w:rsid w:val="00E01B67"/>
    <w:rsid w:val="00E035E9"/>
    <w:rsid w:val="00E0581F"/>
    <w:rsid w:val="00E12C84"/>
    <w:rsid w:val="00E141A9"/>
    <w:rsid w:val="00E14B0E"/>
    <w:rsid w:val="00E1718D"/>
    <w:rsid w:val="00E37632"/>
    <w:rsid w:val="00E37C22"/>
    <w:rsid w:val="00E414E6"/>
    <w:rsid w:val="00E41BE5"/>
    <w:rsid w:val="00E435CA"/>
    <w:rsid w:val="00E448F9"/>
    <w:rsid w:val="00E45E45"/>
    <w:rsid w:val="00E549D5"/>
    <w:rsid w:val="00E63849"/>
    <w:rsid w:val="00E6509D"/>
    <w:rsid w:val="00E65856"/>
    <w:rsid w:val="00E6661D"/>
    <w:rsid w:val="00E70FDC"/>
    <w:rsid w:val="00E72714"/>
    <w:rsid w:val="00E74C37"/>
    <w:rsid w:val="00E76203"/>
    <w:rsid w:val="00E76B93"/>
    <w:rsid w:val="00E81F6C"/>
    <w:rsid w:val="00E919DD"/>
    <w:rsid w:val="00E91FA4"/>
    <w:rsid w:val="00E92530"/>
    <w:rsid w:val="00EA0242"/>
    <w:rsid w:val="00EA1470"/>
    <w:rsid w:val="00EA5379"/>
    <w:rsid w:val="00EB0CC3"/>
    <w:rsid w:val="00EB20F4"/>
    <w:rsid w:val="00EC34B5"/>
    <w:rsid w:val="00EC706A"/>
    <w:rsid w:val="00EE002D"/>
    <w:rsid w:val="00EF1E19"/>
    <w:rsid w:val="00EF24B0"/>
    <w:rsid w:val="00EF2F51"/>
    <w:rsid w:val="00EF354D"/>
    <w:rsid w:val="00EF4D35"/>
    <w:rsid w:val="00F22C82"/>
    <w:rsid w:val="00F277A1"/>
    <w:rsid w:val="00F30082"/>
    <w:rsid w:val="00F347CD"/>
    <w:rsid w:val="00F37854"/>
    <w:rsid w:val="00F401E4"/>
    <w:rsid w:val="00F473EE"/>
    <w:rsid w:val="00F47B58"/>
    <w:rsid w:val="00F62B51"/>
    <w:rsid w:val="00F65BA8"/>
    <w:rsid w:val="00F66FF6"/>
    <w:rsid w:val="00F71484"/>
    <w:rsid w:val="00F8612A"/>
    <w:rsid w:val="00F87023"/>
    <w:rsid w:val="00FA2D52"/>
    <w:rsid w:val="00FA7BFD"/>
    <w:rsid w:val="00FB1135"/>
    <w:rsid w:val="00FB2475"/>
    <w:rsid w:val="00FB48AD"/>
    <w:rsid w:val="00FC2854"/>
    <w:rsid w:val="00FC442A"/>
    <w:rsid w:val="00FD4935"/>
    <w:rsid w:val="00FE4535"/>
    <w:rsid w:val="00FE6A6C"/>
    <w:rsid w:val="00FF23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9093D01"/>
  <w15:docId w15:val="{8836E98C-A942-4459-957A-C5C9476B4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84B"/>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rsid w:val="0077484B"/>
    <w:rPr>
      <w:sz w:val="16"/>
      <w:szCs w:val="16"/>
    </w:rPr>
  </w:style>
  <w:style w:type="paragraph" w:styleId="Textocomentario">
    <w:name w:val="annotation text"/>
    <w:basedOn w:val="Normal"/>
    <w:link w:val="TextocomentarioCar"/>
    <w:rsid w:val="0077484B"/>
    <w:rPr>
      <w:sz w:val="20"/>
      <w:szCs w:val="20"/>
      <w:lang w:eastAsia="x-none"/>
    </w:rPr>
  </w:style>
  <w:style w:type="character" w:customStyle="1" w:styleId="TextocomentarioCar">
    <w:name w:val="Texto comentario Car"/>
    <w:link w:val="Textocomentario"/>
    <w:rsid w:val="0077484B"/>
    <w:rPr>
      <w:lang w:val="es-ES_tradnl" w:eastAsia="x-none" w:bidi="ar-SA"/>
    </w:rPr>
  </w:style>
  <w:style w:type="paragraph" w:styleId="Prrafodelista">
    <w:name w:val="List Paragraph"/>
    <w:basedOn w:val="Normal"/>
    <w:uiPriority w:val="34"/>
    <w:qFormat/>
    <w:rsid w:val="0077484B"/>
    <w:pPr>
      <w:ind w:left="720"/>
      <w:contextualSpacing/>
      <w:jc w:val="both"/>
    </w:pPr>
    <w:rPr>
      <w:szCs w:val="20"/>
    </w:rPr>
  </w:style>
  <w:style w:type="paragraph" w:styleId="Textodeglobo">
    <w:name w:val="Balloon Text"/>
    <w:basedOn w:val="Normal"/>
    <w:semiHidden/>
    <w:rsid w:val="0077484B"/>
    <w:rPr>
      <w:rFonts w:ascii="Tahoma" w:hAnsi="Tahoma" w:cs="Tahoma"/>
      <w:sz w:val="16"/>
      <w:szCs w:val="16"/>
    </w:rPr>
  </w:style>
  <w:style w:type="paragraph" w:styleId="Textonotapie">
    <w:name w:val="footnote text"/>
    <w:basedOn w:val="Normal"/>
    <w:semiHidden/>
    <w:rsid w:val="001A39E2"/>
    <w:rPr>
      <w:sz w:val="20"/>
      <w:szCs w:val="20"/>
    </w:rPr>
  </w:style>
  <w:style w:type="character" w:styleId="Refdenotaalpie">
    <w:name w:val="footnote reference"/>
    <w:semiHidden/>
    <w:rsid w:val="001A39E2"/>
    <w:rPr>
      <w:rFonts w:cs="Times New Roman"/>
      <w:vertAlign w:val="superscript"/>
    </w:rPr>
  </w:style>
  <w:style w:type="paragraph" w:customStyle="1" w:styleId="Estilopredeterminado">
    <w:name w:val="Estilo predeterminado"/>
    <w:rsid w:val="00563720"/>
    <w:pPr>
      <w:suppressAutoHyphens/>
      <w:overflowPunct w:val="0"/>
      <w:spacing w:after="200" w:line="276" w:lineRule="auto"/>
    </w:pPr>
    <w:rPr>
      <w:rFonts w:ascii="Arial" w:eastAsia="MS Mincho" w:hAnsi="Arial" w:cs="Arial"/>
      <w:color w:val="000000"/>
      <w:sz w:val="24"/>
      <w:szCs w:val="24"/>
      <w:lang w:eastAsia="ja-JP"/>
    </w:rPr>
  </w:style>
  <w:style w:type="character" w:customStyle="1" w:styleId="apple-converted-space">
    <w:name w:val="apple-converted-space"/>
    <w:basedOn w:val="Fuentedeprrafopredeter"/>
    <w:rsid w:val="00295A6A"/>
  </w:style>
  <w:style w:type="character" w:styleId="Textoennegrita">
    <w:name w:val="Strong"/>
    <w:qFormat/>
    <w:rsid w:val="00295A6A"/>
    <w:rPr>
      <w:b/>
      <w:bCs/>
    </w:rPr>
  </w:style>
  <w:style w:type="paragraph" w:customStyle="1" w:styleId="Prrafodelista1">
    <w:name w:val="Párrafo de lista1"/>
    <w:basedOn w:val="Normal"/>
    <w:rsid w:val="00780288"/>
    <w:pPr>
      <w:suppressAutoHyphens/>
      <w:overflowPunct w:val="0"/>
      <w:spacing w:after="200" w:line="276" w:lineRule="auto"/>
      <w:ind w:left="720"/>
    </w:pPr>
    <w:rPr>
      <w:rFonts w:ascii="Calibri" w:eastAsia="Calibri" w:hAnsi="Calibri" w:cs="Calibri"/>
      <w:color w:val="000000"/>
      <w:lang w:val="en-US" w:eastAsia="ja-JP"/>
    </w:rPr>
  </w:style>
  <w:style w:type="paragraph" w:customStyle="1" w:styleId="ListParagraph1">
    <w:name w:val="List Paragraph1"/>
    <w:basedOn w:val="Normal"/>
    <w:rsid w:val="00BB7078"/>
    <w:pPr>
      <w:spacing w:after="200" w:line="276" w:lineRule="auto"/>
      <w:ind w:left="720"/>
      <w:contextualSpacing/>
    </w:pPr>
    <w:rPr>
      <w:rFonts w:ascii="Calibri" w:hAnsi="Calibri"/>
      <w:sz w:val="22"/>
      <w:szCs w:val="22"/>
      <w:lang w:val="es-PE"/>
    </w:rPr>
  </w:style>
  <w:style w:type="paragraph" w:styleId="Asuntodelcomentario">
    <w:name w:val="annotation subject"/>
    <w:basedOn w:val="Textocomentario"/>
    <w:next w:val="Textocomentario"/>
    <w:link w:val="AsuntodelcomentarioCar"/>
    <w:rsid w:val="001E714C"/>
    <w:rPr>
      <w:b/>
      <w:bCs/>
      <w:lang w:eastAsia="en-US"/>
    </w:rPr>
  </w:style>
  <w:style w:type="character" w:customStyle="1" w:styleId="AsuntodelcomentarioCar">
    <w:name w:val="Asunto del comentario Car"/>
    <w:link w:val="Asuntodelcomentario"/>
    <w:rsid w:val="001E714C"/>
    <w:rPr>
      <w:b/>
      <w:bCs/>
      <w:lang w:val="es-ES_tradnl" w:eastAsia="en-US" w:bidi="ar-SA"/>
    </w:rPr>
  </w:style>
  <w:style w:type="paragraph" w:customStyle="1" w:styleId="Cuerpodetexto">
    <w:name w:val="Cuerpo de texto"/>
    <w:basedOn w:val="Normal"/>
    <w:rsid w:val="00E448F9"/>
    <w:pPr>
      <w:widowControl w:val="0"/>
      <w:suppressAutoHyphens/>
      <w:spacing w:after="140" w:line="288" w:lineRule="auto"/>
      <w:jc w:val="both"/>
    </w:pPr>
    <w:rPr>
      <w:rFonts w:ascii="Arial" w:eastAsia="SimSun" w:hAnsi="Arial" w:cs="Mangal"/>
      <w:color w:val="00000A"/>
      <w:lang w:val="es-PE" w:eastAsia="zh-CN" w:bidi="hi-IN"/>
    </w:rPr>
  </w:style>
  <w:style w:type="paragraph" w:styleId="Encabezado">
    <w:name w:val="header"/>
    <w:basedOn w:val="Normal"/>
    <w:link w:val="EncabezadoCar"/>
    <w:unhideWhenUsed/>
    <w:rsid w:val="00D6492E"/>
    <w:pPr>
      <w:tabs>
        <w:tab w:val="center" w:pos="4419"/>
        <w:tab w:val="right" w:pos="8838"/>
      </w:tabs>
    </w:pPr>
  </w:style>
  <w:style w:type="character" w:customStyle="1" w:styleId="EncabezadoCar">
    <w:name w:val="Encabezado Car"/>
    <w:basedOn w:val="Fuentedeprrafopredeter"/>
    <w:link w:val="Encabezado"/>
    <w:rsid w:val="00D6492E"/>
    <w:rPr>
      <w:sz w:val="24"/>
      <w:szCs w:val="24"/>
      <w:lang w:val="es-ES_tradnl" w:eastAsia="en-US"/>
    </w:rPr>
  </w:style>
  <w:style w:type="paragraph" w:styleId="Piedepgina">
    <w:name w:val="footer"/>
    <w:basedOn w:val="Normal"/>
    <w:link w:val="PiedepginaCar"/>
    <w:uiPriority w:val="99"/>
    <w:unhideWhenUsed/>
    <w:rsid w:val="00D6492E"/>
    <w:pPr>
      <w:tabs>
        <w:tab w:val="center" w:pos="4419"/>
        <w:tab w:val="right" w:pos="8838"/>
      </w:tabs>
    </w:pPr>
  </w:style>
  <w:style w:type="character" w:customStyle="1" w:styleId="PiedepginaCar">
    <w:name w:val="Pie de página Car"/>
    <w:basedOn w:val="Fuentedeprrafopredeter"/>
    <w:link w:val="Piedepgina"/>
    <w:uiPriority w:val="99"/>
    <w:rsid w:val="00D6492E"/>
    <w:rPr>
      <w:sz w:val="24"/>
      <w:szCs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377669">
      <w:bodyDiv w:val="1"/>
      <w:marLeft w:val="0"/>
      <w:marRight w:val="0"/>
      <w:marTop w:val="0"/>
      <w:marBottom w:val="0"/>
      <w:divBdr>
        <w:top w:val="none" w:sz="0" w:space="0" w:color="auto"/>
        <w:left w:val="none" w:sz="0" w:space="0" w:color="auto"/>
        <w:bottom w:val="none" w:sz="0" w:space="0" w:color="auto"/>
        <w:right w:val="none" w:sz="0" w:space="0" w:color="auto"/>
      </w:divBdr>
    </w:div>
    <w:div w:id="1055083044">
      <w:bodyDiv w:val="1"/>
      <w:marLeft w:val="0"/>
      <w:marRight w:val="0"/>
      <w:marTop w:val="0"/>
      <w:marBottom w:val="0"/>
      <w:divBdr>
        <w:top w:val="none" w:sz="0" w:space="0" w:color="auto"/>
        <w:left w:val="none" w:sz="0" w:space="0" w:color="auto"/>
        <w:bottom w:val="none" w:sz="0" w:space="0" w:color="auto"/>
        <w:right w:val="none" w:sz="0" w:space="0" w:color="auto"/>
      </w:divBdr>
    </w:div>
    <w:div w:id="178507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1561</Words>
  <Characters>8590</Characters>
  <Application>Microsoft Office Word</Application>
  <DocSecurity>0</DocSecurity>
  <Lines>71</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PROYECTO DE INNOVACIÓN PARA LA COMPETITIVIDAD</vt:lpstr>
      <vt:lpstr>PROYECTO DE INNOVACIÓN PARA LA COMPETITIVIDAD</vt:lpstr>
    </vt:vector>
  </TitlesOfParts>
  <Company>CONCYTEC</Company>
  <LinksUpToDate>false</LinksUpToDate>
  <CharactersWithSpaces>10131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INNOVACIÓN PARA LA COMPETITIVIDAD</dc:title>
  <dc:creator>Personal CONCYTEC</dc:creator>
  <cp:lastModifiedBy>Raquel Munoz</cp:lastModifiedBy>
  <cp:revision>3</cp:revision>
  <dcterms:created xsi:type="dcterms:W3CDTF">2014-07-02T16:36:00Z</dcterms:created>
  <dcterms:modified xsi:type="dcterms:W3CDTF">2014-07-22T16:59:00Z</dcterms:modified>
</cp:coreProperties>
</file>